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tbl>
      <w:tblPr/>
      <w:tblGrid>
        <w:gridCol w:w="2093"/>
        <w:gridCol w:w="6662"/>
      </w:tblGrid>
      <w:tr>
        <w:trPr>
          <w:trHeight w:val="1" w:hRule="atLeast"/>
          <w:jc w:val="left"/>
        </w:trPr>
        <w:tc>
          <w:tcPr>
            <w:tcW w:w="209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709"/>
              <w:jc w:val="center"/>
              <w:rPr>
                <w:rFonts w:ascii="Calibri" w:hAnsi="Calibri" w:cs="Calibri" w:eastAsia="Calibri"/>
                <w:color w:val="auto"/>
                <w:spacing w:val="0"/>
                <w:position w:val="0"/>
                <w:sz w:val="22"/>
                <w:shd w:fill="auto" w:val="clear"/>
              </w:rPr>
            </w:pPr>
          </w:p>
        </w:tc>
        <w:tc>
          <w:tcPr>
            <w:tcW w:w="666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160" w:line="259"/>
              <w:ind w:right="0" w:left="-108" w:firstLine="0"/>
              <w:jc w:val="right"/>
              <w:rPr>
                <w:rFonts w:ascii="Times New Roman" w:hAnsi="Times New Roman" w:cs="Times New Roman" w:eastAsia="Times New Roman"/>
                <w:color w:val="000000"/>
                <w:spacing w:val="0"/>
                <w:position w:val="0"/>
                <w:sz w:val="32"/>
                <w:u w:val="single"/>
                <w:shd w:fill="auto" w:val="clear"/>
              </w:rPr>
            </w:pPr>
            <w:r>
              <w:rPr>
                <w:rFonts w:ascii="Times New Roman" w:hAnsi="Times New Roman" w:cs="Times New Roman" w:eastAsia="Times New Roman"/>
                <w:b/>
                <w:color w:val="000000"/>
                <w:spacing w:val="0"/>
                <w:position w:val="0"/>
                <w:sz w:val="32"/>
                <w:u w:val="single"/>
                <w:shd w:fill="auto" w:val="clear"/>
              </w:rPr>
              <w:t xml:space="preserve">ПРИВАТНЕ АКЦІОНЕРНЕ ТОВАРИСТВО </w:t>
            </w:r>
            <w:r>
              <w:rPr>
                <w:rFonts w:ascii="Times New Roman" w:hAnsi="Times New Roman" w:cs="Times New Roman" w:eastAsia="Times New Roman"/>
                <w:b/>
                <w:color w:val="000000"/>
                <w:spacing w:val="0"/>
                <w:position w:val="0"/>
                <w:sz w:val="32"/>
                <w:u w:val="single"/>
                <w:shd w:fill="auto" w:val="clear"/>
              </w:rPr>
              <w:t xml:space="preserve">«</w:t>
            </w:r>
            <w:r>
              <w:rPr>
                <w:rFonts w:ascii="Times New Roman" w:hAnsi="Times New Roman" w:cs="Times New Roman" w:eastAsia="Times New Roman"/>
                <w:b/>
                <w:color w:val="000000"/>
                <w:spacing w:val="0"/>
                <w:position w:val="0"/>
                <w:sz w:val="32"/>
                <w:u w:val="single"/>
                <w:shd w:fill="auto" w:val="clear"/>
              </w:rPr>
              <w:t xml:space="preserve">ВАТУТІНСЬКИЙ КОМБІНАТ ВОГНЕТРИВІВ</w:t>
            </w:r>
            <w:r>
              <w:rPr>
                <w:rFonts w:ascii="Times New Roman" w:hAnsi="Times New Roman" w:cs="Times New Roman" w:eastAsia="Times New Roman"/>
                <w:b/>
                <w:color w:val="000000"/>
                <w:spacing w:val="0"/>
                <w:position w:val="0"/>
                <w:sz w:val="32"/>
                <w:u w:val="single"/>
                <w:shd w:fill="auto" w:val="clear"/>
              </w:rPr>
              <w:t xml:space="preserve">»</w:t>
            </w:r>
          </w:p>
          <w:p>
            <w:pPr>
              <w:spacing w:before="0" w:after="0" w:line="240"/>
              <w:ind w:right="0" w:left="0" w:firstLine="0"/>
              <w:jc w:val="left"/>
              <w:rPr>
                <w:spacing w:val="0"/>
                <w:position w:val="0"/>
              </w:rPr>
            </w:pPr>
          </w:p>
        </w:tc>
      </w:tr>
      <w:tr>
        <w:trPr>
          <w:trHeight w:val="1" w:hRule="atLeast"/>
          <w:jc w:val="left"/>
        </w:trPr>
        <w:tc>
          <w:tcPr>
            <w:tcW w:w="209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709"/>
              <w:jc w:val="center"/>
              <w:rPr>
                <w:rFonts w:ascii="Calibri" w:hAnsi="Calibri" w:cs="Calibri" w:eastAsia="Calibri"/>
                <w:color w:val="auto"/>
                <w:spacing w:val="0"/>
                <w:position w:val="0"/>
                <w:sz w:val="22"/>
                <w:shd w:fill="auto" w:val="clear"/>
              </w:rPr>
            </w:pPr>
          </w:p>
        </w:tc>
        <w:tc>
          <w:tcPr>
            <w:tcW w:w="666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160" w:line="259"/>
              <w:ind w:right="0" w:left="0" w:firstLine="0"/>
              <w:jc w:val="right"/>
              <w:rPr>
                <w:rFonts w:ascii="Times New Roman" w:hAnsi="Times New Roman" w:cs="Times New Roman" w:eastAsia="Times New Roman"/>
                <w:color w:val="000000"/>
                <w:spacing w:val="0"/>
                <w:position w:val="0"/>
                <w:sz w:val="32"/>
                <w:u w:val="single"/>
                <w:shd w:fill="auto" w:val="clear"/>
              </w:rPr>
            </w:pPr>
            <w:r>
              <w:rPr>
                <w:rFonts w:ascii="Times New Roman" w:hAnsi="Times New Roman" w:cs="Times New Roman" w:eastAsia="Times New Roman"/>
                <w:b/>
                <w:color w:val="000000"/>
                <w:spacing w:val="0"/>
                <w:position w:val="0"/>
                <w:sz w:val="32"/>
                <w:u w:val="single"/>
                <w:shd w:fill="auto" w:val="clear"/>
              </w:rPr>
              <w:t xml:space="preserve">ФІНАНСОВА ЗВІТНІСТЬ  за </w:t>
            </w:r>
          </w:p>
          <w:p>
            <w:pPr>
              <w:spacing w:before="0" w:after="160" w:line="259"/>
              <w:ind w:right="0" w:left="0" w:firstLine="0"/>
              <w:jc w:val="right"/>
              <w:rPr>
                <w:rFonts w:ascii="Times New Roman" w:hAnsi="Times New Roman" w:cs="Times New Roman" w:eastAsia="Times New Roman"/>
                <w:color w:val="000000"/>
                <w:spacing w:val="0"/>
                <w:position w:val="0"/>
                <w:sz w:val="32"/>
                <w:u w:val="single"/>
                <w:shd w:fill="auto" w:val="clear"/>
              </w:rPr>
            </w:pPr>
            <w:r>
              <w:rPr>
                <w:rFonts w:ascii="Times New Roman" w:hAnsi="Times New Roman" w:cs="Times New Roman" w:eastAsia="Times New Roman"/>
                <w:b/>
                <w:color w:val="000000"/>
                <w:spacing w:val="0"/>
                <w:position w:val="0"/>
                <w:sz w:val="32"/>
                <w:u w:val="single"/>
                <w:shd w:fill="auto" w:val="clear"/>
              </w:rPr>
              <w:t xml:space="preserve">МІЖНАРОДНИМИ СТАНДАРТАМИ ФІНАНСОВОЇ ЗВІТНОСТІ</w:t>
            </w:r>
          </w:p>
          <w:p>
            <w:pPr>
              <w:spacing w:before="0" w:after="160" w:line="259"/>
              <w:ind w:right="0" w:left="0" w:firstLine="709"/>
              <w:jc w:val="right"/>
              <w:rPr>
                <w:rFonts w:ascii="Times New Roman" w:hAnsi="Times New Roman" w:cs="Times New Roman" w:eastAsia="Times New Roman"/>
                <w:color w:val="000000"/>
                <w:spacing w:val="0"/>
                <w:position w:val="0"/>
                <w:sz w:val="32"/>
                <w:u w:val="single"/>
                <w:shd w:fill="auto" w:val="clear"/>
              </w:rPr>
            </w:pPr>
          </w:p>
          <w:p>
            <w:pPr>
              <w:spacing w:before="0" w:after="160" w:line="259"/>
              <w:ind w:right="0" w:left="0" w:firstLine="0"/>
              <w:jc w:val="right"/>
              <w:rPr>
                <w:rFonts w:ascii="Times New Roman" w:hAnsi="Times New Roman" w:cs="Times New Roman" w:eastAsia="Times New Roman"/>
                <w:color w:val="000000"/>
                <w:spacing w:val="0"/>
                <w:position w:val="0"/>
                <w:sz w:val="32"/>
                <w:u w:val="single"/>
                <w:shd w:fill="auto" w:val="clear"/>
              </w:rPr>
            </w:pPr>
            <w:r>
              <w:rPr>
                <w:rFonts w:ascii="Times New Roman" w:hAnsi="Times New Roman" w:cs="Times New Roman" w:eastAsia="Times New Roman"/>
                <w:b/>
                <w:color w:val="000000"/>
                <w:spacing w:val="0"/>
                <w:position w:val="0"/>
                <w:sz w:val="32"/>
                <w:u w:val="single"/>
                <w:shd w:fill="auto" w:val="clear"/>
              </w:rPr>
              <w:t xml:space="preserve">та ЗВІТ НЕЗАЛЕЖНИХ АУДИТОРІВ</w:t>
            </w:r>
          </w:p>
          <w:p>
            <w:pPr>
              <w:spacing w:before="0" w:after="160" w:line="259"/>
              <w:ind w:right="0" w:left="0" w:firstLine="709"/>
              <w:jc w:val="right"/>
              <w:rPr>
                <w:rFonts w:ascii="Times New Roman" w:hAnsi="Times New Roman" w:cs="Times New Roman" w:eastAsia="Times New Roman"/>
                <w:color w:val="000000"/>
                <w:spacing w:val="0"/>
                <w:position w:val="0"/>
                <w:sz w:val="32"/>
                <w:u w:val="single"/>
                <w:shd w:fill="auto" w:val="clear"/>
              </w:rPr>
            </w:pPr>
          </w:p>
          <w:p>
            <w:pPr>
              <w:spacing w:before="0" w:after="160" w:line="259"/>
              <w:ind w:right="0" w:left="0" w:firstLine="0"/>
              <w:jc w:val="right"/>
              <w:rPr>
                <w:spacing w:val="0"/>
                <w:position w:val="0"/>
              </w:rPr>
            </w:pPr>
            <w:r>
              <w:rPr>
                <w:rFonts w:ascii="Times New Roman" w:hAnsi="Times New Roman" w:cs="Times New Roman" w:eastAsia="Times New Roman"/>
                <w:b/>
                <w:color w:val="000000"/>
                <w:spacing w:val="0"/>
                <w:position w:val="0"/>
                <w:sz w:val="32"/>
                <w:u w:val="single"/>
                <w:shd w:fill="auto" w:val="clear"/>
              </w:rPr>
              <w:t xml:space="preserve">31 </w:t>
            </w:r>
            <w:r>
              <w:rPr>
                <w:rFonts w:ascii="Times New Roman" w:hAnsi="Times New Roman" w:cs="Times New Roman" w:eastAsia="Times New Roman"/>
                <w:b/>
                <w:color w:val="000000"/>
                <w:spacing w:val="0"/>
                <w:position w:val="0"/>
                <w:sz w:val="32"/>
                <w:u w:val="single"/>
                <w:shd w:fill="auto" w:val="clear"/>
              </w:rPr>
              <w:t xml:space="preserve">грудня 2020 року </w:t>
            </w:r>
          </w:p>
        </w:tc>
      </w:tr>
    </w:tbl>
    <w:p>
      <w:pPr>
        <w:spacing w:before="0" w:after="0" w:line="240"/>
        <w:ind w:right="0" w:left="0" w:firstLine="709"/>
        <w:jc w:val="center"/>
        <w:rPr>
          <w:rFonts w:ascii="Times New Roman" w:hAnsi="Times New Roman" w:cs="Times New Roman" w:eastAsia="Times New Roman"/>
          <w:b/>
          <w:color w:val="0000FF"/>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center"/>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b/>
          <w:color w:val="262626"/>
          <w:spacing w:val="0"/>
          <w:position w:val="0"/>
          <w:sz w:val="24"/>
          <w:u w:val="single"/>
          <w:shd w:fill="auto" w:val="clear"/>
        </w:rPr>
        <w:t xml:space="preserve">2021</w:t>
      </w:r>
    </w:p>
    <w:p>
      <w:pPr>
        <w:spacing w:before="0" w:after="160" w:line="259"/>
        <w:ind w:right="0" w:left="0" w:firstLine="709"/>
        <w:jc w:val="both"/>
        <w:rPr>
          <w:rFonts w:ascii="Times New Roman" w:hAnsi="Times New Roman" w:cs="Times New Roman" w:eastAsia="Times New Roman"/>
          <w:color w:val="000000"/>
          <w:spacing w:val="0"/>
          <w:position w:val="0"/>
          <w:sz w:val="24"/>
          <w:u w:val="single"/>
          <w:shd w:fill="auto" w:val="clear"/>
        </w:rPr>
      </w:pPr>
    </w:p>
    <w:p>
      <w:pPr>
        <w:spacing w:before="0" w:after="160" w:line="259"/>
        <w:ind w:right="0" w:left="0" w:firstLine="709"/>
        <w:jc w:val="both"/>
        <w:rPr>
          <w:rFonts w:ascii="Times New Roman" w:hAnsi="Times New Roman" w:cs="Times New Roman" w:eastAsia="Times New Roman"/>
          <w:color w:val="000000"/>
          <w:spacing w:val="0"/>
          <w:position w:val="0"/>
          <w:sz w:val="24"/>
          <w:u w:val="single"/>
          <w:shd w:fill="auto" w:val="clear"/>
        </w:rPr>
      </w:pPr>
    </w:p>
    <w:p>
      <w:pPr>
        <w:spacing w:before="0" w:after="16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ЗМІСТ</w:t>
      </w:r>
    </w:p>
    <w:p>
      <w:pPr>
        <w:spacing w:before="0" w:after="160" w:line="259"/>
        <w:ind w:right="0" w:left="0" w:firstLine="709"/>
        <w:jc w:val="left"/>
        <w:rPr>
          <w:rFonts w:ascii="Times New Roman" w:hAnsi="Times New Roman" w:cs="Times New Roman" w:eastAsia="Times New Roman"/>
          <w:color w:val="000000"/>
          <w:spacing w:val="0"/>
          <w:position w:val="0"/>
          <w:sz w:val="24"/>
          <w:u w:val="single"/>
          <w:shd w:fill="auto" w:val="clear"/>
        </w:rPr>
      </w:pPr>
    </w:p>
    <w:tbl>
      <w:tblPr/>
      <w:tblGrid>
        <w:gridCol w:w="9115"/>
        <w:gridCol w:w="456"/>
      </w:tblGrid>
      <w:tr>
        <w:trPr>
          <w:trHeight w:val="1" w:hRule="atLeast"/>
          <w:jc w:val="left"/>
        </w:trPr>
        <w:tc>
          <w:tcPr>
            <w:tcW w:w="911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160" w:line="259"/>
              <w:ind w:right="0" w:left="0" w:firstLine="0"/>
              <w:jc w:val="left"/>
              <w:rPr>
                <w:spacing w:val="0"/>
                <w:position w:val="0"/>
              </w:rPr>
            </w:pPr>
            <w:r>
              <w:rPr>
                <w:rFonts w:ascii="Times New Roman" w:hAnsi="Times New Roman" w:cs="Times New Roman" w:eastAsia="Times New Roman"/>
                <w:color w:val="000000"/>
                <w:spacing w:val="0"/>
                <w:position w:val="0"/>
                <w:sz w:val="24"/>
                <w:u w:val="single"/>
                <w:shd w:fill="auto" w:val="clear"/>
              </w:rPr>
              <w:t xml:space="preserve">Звіт незалежного аудитора …………………………………………………………...…….. </w:t>
            </w:r>
          </w:p>
        </w:tc>
        <w:tc>
          <w:tcPr>
            <w:tcW w:w="45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160" w:line="259"/>
              <w:ind w:right="0" w:left="0" w:firstLine="0"/>
              <w:jc w:val="center"/>
              <w:rPr>
                <w:spacing w:val="0"/>
                <w:position w:val="0"/>
              </w:rPr>
            </w:pPr>
            <w:r>
              <w:rPr>
                <w:rFonts w:ascii="Times New Roman" w:hAnsi="Times New Roman" w:cs="Times New Roman" w:eastAsia="Times New Roman"/>
                <w:color w:val="000000"/>
                <w:spacing w:val="0"/>
                <w:position w:val="0"/>
                <w:sz w:val="24"/>
                <w:u w:val="single"/>
                <w:shd w:fill="FFFF00" w:val="clear"/>
              </w:rPr>
              <w:t xml:space="preserve">3</w:t>
            </w:r>
          </w:p>
        </w:tc>
      </w:tr>
      <w:tr>
        <w:trPr>
          <w:trHeight w:val="1" w:hRule="atLeast"/>
          <w:jc w:val="left"/>
        </w:trPr>
        <w:tc>
          <w:tcPr>
            <w:tcW w:w="911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160" w:line="259"/>
              <w:ind w:right="0" w:left="0" w:firstLine="0"/>
              <w:jc w:val="left"/>
              <w:rPr>
                <w:spacing w:val="0"/>
                <w:position w:val="0"/>
              </w:rPr>
            </w:pPr>
            <w:r>
              <w:rPr>
                <w:rFonts w:ascii="Times New Roman" w:hAnsi="Times New Roman" w:cs="Times New Roman" w:eastAsia="Times New Roman"/>
                <w:color w:val="000000"/>
                <w:spacing w:val="0"/>
                <w:position w:val="0"/>
                <w:sz w:val="24"/>
                <w:u w:val="single"/>
                <w:shd w:fill="auto" w:val="clear"/>
              </w:rPr>
              <w:t xml:space="preserve">Заява про відповідальність керівництва за підготовку і затвердження фінансової звітності ………………………………………………………………………………………</w:t>
            </w:r>
          </w:p>
        </w:tc>
        <w:tc>
          <w:tcPr>
            <w:tcW w:w="45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160" w:line="259"/>
              <w:ind w:right="0" w:left="0" w:firstLine="0"/>
              <w:jc w:val="center"/>
              <w:rPr>
                <w:spacing w:val="0"/>
                <w:position w:val="0"/>
              </w:rPr>
            </w:pPr>
            <w:r>
              <w:rPr>
                <w:rFonts w:ascii="Times New Roman" w:hAnsi="Times New Roman" w:cs="Times New Roman" w:eastAsia="Times New Roman"/>
                <w:color w:val="000000"/>
                <w:spacing w:val="0"/>
                <w:position w:val="0"/>
                <w:sz w:val="24"/>
                <w:u w:val="single"/>
                <w:shd w:fill="FFFF00" w:val="clear"/>
              </w:rPr>
              <w:t xml:space="preserve">6</w:t>
            </w:r>
          </w:p>
        </w:tc>
      </w:tr>
      <w:tr>
        <w:trPr>
          <w:trHeight w:val="1" w:hRule="atLeast"/>
          <w:jc w:val="left"/>
        </w:trPr>
        <w:tc>
          <w:tcPr>
            <w:tcW w:w="911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160" w:line="259"/>
              <w:ind w:right="0" w:left="0" w:firstLine="0"/>
              <w:jc w:val="left"/>
              <w:rPr>
                <w:spacing w:val="0"/>
                <w:position w:val="0"/>
              </w:rPr>
            </w:pPr>
            <w:r>
              <w:rPr>
                <w:rFonts w:ascii="Times New Roman" w:hAnsi="Times New Roman" w:cs="Times New Roman" w:eastAsia="Times New Roman"/>
                <w:color w:val="000000"/>
                <w:spacing w:val="0"/>
                <w:position w:val="0"/>
                <w:sz w:val="24"/>
                <w:u w:val="single"/>
                <w:shd w:fill="auto" w:val="clear"/>
              </w:rPr>
              <w:t xml:space="preserve">Звіт про фінансовий стан (баланс) на 31 грудня 2020 року ……………............................</w:t>
            </w:r>
          </w:p>
        </w:tc>
        <w:tc>
          <w:tcPr>
            <w:tcW w:w="45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160" w:line="259"/>
              <w:ind w:right="0" w:left="0" w:firstLine="0"/>
              <w:jc w:val="center"/>
              <w:rPr>
                <w:spacing w:val="0"/>
                <w:position w:val="0"/>
              </w:rPr>
            </w:pPr>
            <w:r>
              <w:rPr>
                <w:rFonts w:ascii="Times New Roman" w:hAnsi="Times New Roman" w:cs="Times New Roman" w:eastAsia="Times New Roman"/>
                <w:color w:val="000000"/>
                <w:spacing w:val="0"/>
                <w:position w:val="0"/>
                <w:sz w:val="24"/>
                <w:u w:val="single"/>
                <w:shd w:fill="FFFF00" w:val="clear"/>
              </w:rPr>
              <w:t xml:space="preserve">7</w:t>
            </w:r>
          </w:p>
        </w:tc>
      </w:tr>
      <w:tr>
        <w:trPr>
          <w:trHeight w:val="1" w:hRule="atLeast"/>
          <w:jc w:val="left"/>
        </w:trPr>
        <w:tc>
          <w:tcPr>
            <w:tcW w:w="911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160" w:line="259"/>
              <w:ind w:right="0" w:left="0" w:firstLine="0"/>
              <w:jc w:val="left"/>
              <w:rPr>
                <w:spacing w:val="0"/>
                <w:position w:val="0"/>
              </w:rPr>
            </w:pPr>
            <w:r>
              <w:rPr>
                <w:rFonts w:ascii="Times New Roman" w:hAnsi="Times New Roman" w:cs="Times New Roman" w:eastAsia="Times New Roman"/>
                <w:color w:val="000000"/>
                <w:spacing w:val="0"/>
                <w:position w:val="0"/>
                <w:sz w:val="24"/>
                <w:u w:val="single"/>
                <w:shd w:fill="auto" w:val="clear"/>
              </w:rPr>
              <w:t xml:space="preserve">Звіт про сукупний дохід за 2020 рік …………………………………………………..…...</w:t>
            </w:r>
          </w:p>
        </w:tc>
        <w:tc>
          <w:tcPr>
            <w:tcW w:w="45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160" w:line="259"/>
              <w:ind w:right="0" w:left="0" w:firstLine="0"/>
              <w:jc w:val="center"/>
              <w:rPr>
                <w:spacing w:val="0"/>
                <w:position w:val="0"/>
              </w:rPr>
            </w:pPr>
            <w:r>
              <w:rPr>
                <w:rFonts w:ascii="Times New Roman" w:hAnsi="Times New Roman" w:cs="Times New Roman" w:eastAsia="Times New Roman"/>
                <w:color w:val="000000"/>
                <w:spacing w:val="0"/>
                <w:position w:val="0"/>
                <w:sz w:val="24"/>
                <w:u w:val="single"/>
                <w:shd w:fill="FFFF00" w:val="clear"/>
              </w:rPr>
              <w:t xml:space="preserve">9</w:t>
            </w:r>
          </w:p>
        </w:tc>
      </w:tr>
      <w:tr>
        <w:trPr>
          <w:trHeight w:val="1" w:hRule="atLeast"/>
          <w:jc w:val="left"/>
        </w:trPr>
        <w:tc>
          <w:tcPr>
            <w:tcW w:w="911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160" w:line="259"/>
              <w:ind w:right="0" w:left="0" w:firstLine="0"/>
              <w:jc w:val="left"/>
              <w:rPr>
                <w:spacing w:val="0"/>
                <w:position w:val="0"/>
              </w:rPr>
            </w:pPr>
            <w:r>
              <w:rPr>
                <w:rFonts w:ascii="Times New Roman" w:hAnsi="Times New Roman" w:cs="Times New Roman" w:eastAsia="Times New Roman"/>
                <w:color w:val="000000"/>
                <w:spacing w:val="0"/>
                <w:position w:val="0"/>
                <w:sz w:val="24"/>
                <w:u w:val="single"/>
                <w:shd w:fill="auto" w:val="clear"/>
              </w:rPr>
              <w:t xml:space="preserve">Звіт про рух грошових коштів за 2020 рік …………………………………….……….….</w:t>
            </w:r>
          </w:p>
        </w:tc>
        <w:tc>
          <w:tcPr>
            <w:tcW w:w="45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160" w:line="259"/>
              <w:ind w:right="0" w:left="0" w:firstLine="0"/>
              <w:jc w:val="center"/>
              <w:rPr>
                <w:spacing w:val="0"/>
                <w:position w:val="0"/>
              </w:rPr>
            </w:pPr>
            <w:r>
              <w:rPr>
                <w:rFonts w:ascii="Times New Roman" w:hAnsi="Times New Roman" w:cs="Times New Roman" w:eastAsia="Times New Roman"/>
                <w:color w:val="000000"/>
                <w:spacing w:val="0"/>
                <w:position w:val="0"/>
                <w:sz w:val="24"/>
                <w:u w:val="single"/>
                <w:shd w:fill="FFFF00" w:val="clear"/>
              </w:rPr>
              <w:t xml:space="preserve">11</w:t>
            </w:r>
          </w:p>
        </w:tc>
      </w:tr>
      <w:tr>
        <w:trPr>
          <w:trHeight w:val="1" w:hRule="atLeast"/>
          <w:jc w:val="left"/>
        </w:trPr>
        <w:tc>
          <w:tcPr>
            <w:tcW w:w="911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160" w:line="259"/>
              <w:ind w:right="0" w:left="0" w:firstLine="0"/>
              <w:jc w:val="left"/>
              <w:rPr>
                <w:spacing w:val="0"/>
                <w:position w:val="0"/>
              </w:rPr>
            </w:pPr>
            <w:r>
              <w:rPr>
                <w:rFonts w:ascii="Times New Roman" w:hAnsi="Times New Roman" w:cs="Times New Roman" w:eastAsia="Times New Roman"/>
                <w:color w:val="000000"/>
                <w:spacing w:val="0"/>
                <w:position w:val="0"/>
                <w:sz w:val="24"/>
                <w:u w:val="single"/>
                <w:shd w:fill="auto" w:val="clear"/>
              </w:rPr>
              <w:t xml:space="preserve">Звіт про власний капітал за 2019 рік ………………………………………………….…...</w:t>
            </w:r>
          </w:p>
        </w:tc>
        <w:tc>
          <w:tcPr>
            <w:tcW w:w="45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160" w:line="259"/>
              <w:ind w:right="0" w:left="0" w:firstLine="0"/>
              <w:jc w:val="center"/>
              <w:rPr>
                <w:spacing w:val="0"/>
                <w:position w:val="0"/>
              </w:rPr>
            </w:pPr>
            <w:r>
              <w:rPr>
                <w:rFonts w:ascii="Times New Roman" w:hAnsi="Times New Roman" w:cs="Times New Roman" w:eastAsia="Times New Roman"/>
                <w:color w:val="000000"/>
                <w:spacing w:val="0"/>
                <w:position w:val="0"/>
                <w:sz w:val="24"/>
                <w:u w:val="single"/>
                <w:shd w:fill="FFFF00" w:val="clear"/>
              </w:rPr>
              <w:t xml:space="preserve">13</w:t>
            </w:r>
          </w:p>
        </w:tc>
      </w:tr>
      <w:tr>
        <w:trPr>
          <w:trHeight w:val="1" w:hRule="atLeast"/>
          <w:jc w:val="left"/>
        </w:trPr>
        <w:tc>
          <w:tcPr>
            <w:tcW w:w="911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160" w:line="259"/>
              <w:ind w:right="0" w:left="0" w:firstLine="0"/>
              <w:jc w:val="left"/>
              <w:rPr>
                <w:spacing w:val="0"/>
                <w:position w:val="0"/>
              </w:rPr>
            </w:pPr>
            <w:r>
              <w:rPr>
                <w:rFonts w:ascii="Times New Roman" w:hAnsi="Times New Roman" w:cs="Times New Roman" w:eastAsia="Times New Roman"/>
                <w:color w:val="000000"/>
                <w:spacing w:val="0"/>
                <w:position w:val="0"/>
                <w:sz w:val="24"/>
                <w:u w:val="single"/>
                <w:shd w:fill="auto" w:val="clear"/>
              </w:rPr>
              <w:t xml:space="preserve">Звіт про власний капітал за 2020 рік ………………………………………………….…...</w:t>
            </w:r>
          </w:p>
        </w:tc>
        <w:tc>
          <w:tcPr>
            <w:tcW w:w="45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160" w:line="259"/>
              <w:ind w:right="0" w:left="0" w:firstLine="0"/>
              <w:jc w:val="center"/>
              <w:rPr>
                <w:spacing w:val="0"/>
                <w:position w:val="0"/>
              </w:rPr>
            </w:pPr>
            <w:r>
              <w:rPr>
                <w:rFonts w:ascii="Times New Roman" w:hAnsi="Times New Roman" w:cs="Times New Roman" w:eastAsia="Times New Roman"/>
                <w:color w:val="000000"/>
                <w:spacing w:val="0"/>
                <w:position w:val="0"/>
                <w:sz w:val="24"/>
                <w:u w:val="single"/>
                <w:shd w:fill="FFFF00" w:val="clear"/>
              </w:rPr>
              <w:t xml:space="preserve">14</w:t>
            </w:r>
          </w:p>
        </w:tc>
      </w:tr>
      <w:tr>
        <w:trPr>
          <w:trHeight w:val="1" w:hRule="atLeast"/>
          <w:jc w:val="left"/>
        </w:trPr>
        <w:tc>
          <w:tcPr>
            <w:tcW w:w="911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160" w:line="259"/>
              <w:ind w:right="0" w:left="0" w:firstLine="0"/>
              <w:jc w:val="left"/>
              <w:rPr>
                <w:spacing w:val="0"/>
                <w:position w:val="0"/>
              </w:rPr>
            </w:pPr>
            <w:r>
              <w:rPr>
                <w:rFonts w:ascii="Times New Roman" w:hAnsi="Times New Roman" w:cs="Times New Roman" w:eastAsia="Times New Roman"/>
                <w:color w:val="000000"/>
                <w:spacing w:val="0"/>
                <w:position w:val="0"/>
                <w:sz w:val="24"/>
                <w:u w:val="single"/>
                <w:shd w:fill="auto" w:val="clear"/>
              </w:rPr>
              <w:t xml:space="preserve">Примітки до фінансової звітності …………………………………………..........................</w:t>
            </w:r>
          </w:p>
        </w:tc>
        <w:tc>
          <w:tcPr>
            <w:tcW w:w="45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160" w:line="259"/>
              <w:ind w:right="0" w:left="0" w:firstLine="0"/>
              <w:jc w:val="center"/>
              <w:rPr>
                <w:spacing w:val="0"/>
                <w:position w:val="0"/>
              </w:rPr>
            </w:pPr>
            <w:r>
              <w:rPr>
                <w:rFonts w:ascii="Times New Roman" w:hAnsi="Times New Roman" w:cs="Times New Roman" w:eastAsia="Times New Roman"/>
                <w:color w:val="000000"/>
                <w:spacing w:val="0"/>
                <w:position w:val="0"/>
                <w:sz w:val="24"/>
                <w:u w:val="single"/>
                <w:shd w:fill="FFFF00" w:val="clear"/>
              </w:rPr>
              <w:t xml:space="preserve">15</w:t>
            </w:r>
          </w:p>
        </w:tc>
      </w:tr>
    </w:tbl>
    <w:p>
      <w:pPr>
        <w:spacing w:before="0" w:after="0" w:line="259"/>
        <w:ind w:right="0" w:left="0" w:firstLine="0"/>
        <w:jc w:val="left"/>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center"/>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0" w:line="259"/>
        <w:ind w:right="0" w:left="0" w:firstLine="0"/>
        <w:jc w:val="both"/>
        <w:rPr>
          <w:rFonts w:ascii="Times New Roman" w:hAnsi="Times New Roman" w:cs="Times New Roman" w:eastAsia="Times New Roman"/>
          <w:color w:val="262626"/>
          <w:spacing w:val="0"/>
          <w:position w:val="0"/>
          <w:sz w:val="24"/>
          <w:u w:val="single"/>
          <w:shd w:fill="auto" w:val="clear"/>
        </w:rPr>
      </w:pPr>
    </w:p>
    <w:p>
      <w:pPr>
        <w:keepNext w:val="true"/>
        <w:spacing w:before="0" w:after="0" w:line="276"/>
        <w:ind w:right="0" w:left="1872" w:hanging="431"/>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keepNext w:val="true"/>
        <w:spacing w:before="0" w:after="0" w:line="276"/>
        <w:ind w:right="0" w:left="1872" w:hanging="431"/>
        <w:jc w:val="left"/>
        <w:rPr>
          <w:rFonts w:ascii="Times New Roman" w:hAnsi="Times New Roman" w:cs="Times New Roman" w:eastAsia="Times New Roman"/>
          <w:b/>
          <w:color w:val="262626"/>
          <w:spacing w:val="0"/>
          <w:position w:val="0"/>
          <w:sz w:val="24"/>
          <w:u w:val="single"/>
          <w:shd w:fill="auto" w:val="clear"/>
        </w:rPr>
      </w:pPr>
      <w:r>
        <w:rPr>
          <w:rFonts w:ascii="Times New Roman" w:hAnsi="Times New Roman" w:cs="Times New Roman" w:eastAsia="Times New Roman"/>
          <w:b/>
          <w:color w:val="262626"/>
          <w:spacing w:val="0"/>
          <w:position w:val="0"/>
          <w:sz w:val="24"/>
          <w:u w:val="single"/>
          <w:shd w:fill="auto" w:val="clear"/>
        </w:rPr>
        <w:t xml:space="preserve">ЗВІТ НЕЗАЛЕЖНОГО АУДИТОРА</w:t>
      </w:r>
    </w:p>
    <w:p>
      <w:pPr>
        <w:spacing w:before="0" w:after="0" w:line="276"/>
        <w:ind w:right="0" w:left="0" w:firstLine="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b/>
          <w:color w:val="262626"/>
          <w:spacing w:val="0"/>
          <w:position w:val="0"/>
          <w:sz w:val="24"/>
          <w:u w:val="single"/>
          <w:shd w:fill="auto" w:val="clear"/>
        </w:rPr>
        <w:t xml:space="preserve">ЩОДО ФІНАНСОВОЇ ЗВІТНОСТІ, СКЛАДЕНОЇ ВІДПОВІДНО ДО  МСФЗ</w:t>
      </w:r>
    </w:p>
    <w:p>
      <w:pPr>
        <w:spacing w:before="0" w:after="0" w:line="276"/>
        <w:ind w:right="0" w:left="0" w:firstLine="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b/>
          <w:color w:val="262626"/>
          <w:spacing w:val="0"/>
          <w:position w:val="0"/>
          <w:sz w:val="24"/>
          <w:u w:val="single"/>
          <w:shd w:fill="auto" w:val="clear"/>
        </w:rPr>
        <w:t xml:space="preserve">ПРИВАТНОГО АКЦІОНЕРНОГО ТОВАРИСТВА </w:t>
      </w:r>
    </w:p>
    <w:p>
      <w:pPr>
        <w:spacing w:before="0" w:after="0" w:line="276"/>
        <w:ind w:right="0" w:left="0" w:firstLine="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b/>
          <w:color w:val="262626"/>
          <w:spacing w:val="0"/>
          <w:position w:val="0"/>
          <w:sz w:val="24"/>
          <w:u w:val="single"/>
          <w:shd w:fill="auto" w:val="clear"/>
        </w:rPr>
        <w:t xml:space="preserve">«</w:t>
      </w:r>
      <w:r>
        <w:rPr>
          <w:rFonts w:ascii="Times New Roman" w:hAnsi="Times New Roman" w:cs="Times New Roman" w:eastAsia="Times New Roman"/>
          <w:b/>
          <w:color w:val="262626"/>
          <w:spacing w:val="0"/>
          <w:position w:val="0"/>
          <w:sz w:val="24"/>
          <w:u w:val="single"/>
          <w:shd w:fill="auto" w:val="clear"/>
        </w:rPr>
        <w:t xml:space="preserve">ВАТУТІНСЬКИЙ КОМБІНАТ ВОГНЕТРИВІВ</w:t>
      </w:r>
      <w:r>
        <w:rPr>
          <w:rFonts w:ascii="Times New Roman" w:hAnsi="Times New Roman" w:cs="Times New Roman" w:eastAsia="Times New Roman"/>
          <w:b/>
          <w:color w:val="262626"/>
          <w:spacing w:val="0"/>
          <w:position w:val="0"/>
          <w:sz w:val="24"/>
          <w:u w:val="single"/>
          <w:shd w:fill="auto" w:val="clear"/>
        </w:rPr>
        <w:t xml:space="preserve">»</w:t>
      </w:r>
    </w:p>
    <w:p>
      <w:pPr>
        <w:spacing w:before="0" w:after="0" w:line="276"/>
        <w:ind w:right="0" w:left="0" w:firstLine="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b/>
          <w:color w:val="262626"/>
          <w:spacing w:val="0"/>
          <w:position w:val="0"/>
          <w:sz w:val="24"/>
          <w:u w:val="single"/>
          <w:shd w:fill="auto" w:val="clear"/>
        </w:rPr>
        <w:t xml:space="preserve">ЗА РІК, ЩО ЗАКІНЧИВСЯ 31 ГРУДНЯ 2020 РОКУ</w:t>
      </w:r>
    </w:p>
    <w:p>
      <w:pPr>
        <w:spacing w:before="0" w:after="0" w:line="276"/>
        <w:ind w:right="0" w:left="0" w:firstLine="0"/>
        <w:jc w:val="right"/>
        <w:rPr>
          <w:rFonts w:ascii="Times New Roman" w:hAnsi="Times New Roman" w:cs="Times New Roman" w:eastAsia="Times New Roman"/>
          <w:color w:val="262626"/>
          <w:spacing w:val="0"/>
          <w:position w:val="0"/>
          <w:sz w:val="24"/>
          <w:u w:val="single"/>
          <w:shd w:fill="auto" w:val="clear"/>
        </w:rPr>
      </w:pPr>
    </w:p>
    <w:p>
      <w:pPr>
        <w:spacing w:before="0" w:after="0" w:line="276"/>
        <w:ind w:right="0" w:left="0" w:firstLine="0"/>
        <w:jc w:val="right"/>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b/>
          <w:color w:val="262626"/>
          <w:spacing w:val="0"/>
          <w:position w:val="0"/>
          <w:sz w:val="24"/>
          <w:u w:val="single"/>
          <w:shd w:fill="auto" w:val="clear"/>
        </w:rPr>
        <w:t xml:space="preserve">АКЦІОНЕРАМ, НАГЛЯДОВІЙ РАДІ, ПРАВЛІННЮ </w:t>
      </w:r>
    </w:p>
    <w:p>
      <w:pPr>
        <w:spacing w:before="0" w:after="0" w:line="276"/>
        <w:ind w:right="0" w:left="0" w:firstLine="0"/>
        <w:jc w:val="right"/>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b/>
          <w:color w:val="262626"/>
          <w:spacing w:val="0"/>
          <w:position w:val="0"/>
          <w:sz w:val="24"/>
          <w:u w:val="single"/>
          <w:shd w:fill="auto" w:val="clear"/>
        </w:rPr>
        <w:t xml:space="preserve">ПРИВАТНОГО АКЦІОНЕРНОГО ТОВАРИСТВА </w:t>
      </w:r>
    </w:p>
    <w:p>
      <w:pPr>
        <w:spacing w:before="0" w:after="0" w:line="276"/>
        <w:ind w:right="0" w:left="0" w:firstLine="0"/>
        <w:jc w:val="right"/>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b/>
          <w:color w:val="262626"/>
          <w:spacing w:val="0"/>
          <w:position w:val="0"/>
          <w:sz w:val="24"/>
          <w:u w:val="single"/>
          <w:shd w:fill="auto" w:val="clear"/>
        </w:rPr>
        <w:t xml:space="preserve">«</w:t>
      </w:r>
      <w:r>
        <w:rPr>
          <w:rFonts w:ascii="Times New Roman" w:hAnsi="Times New Roman" w:cs="Times New Roman" w:eastAsia="Times New Roman"/>
          <w:b/>
          <w:color w:val="262626"/>
          <w:spacing w:val="0"/>
          <w:position w:val="0"/>
          <w:sz w:val="24"/>
          <w:u w:val="single"/>
          <w:shd w:fill="auto" w:val="clear"/>
        </w:rPr>
        <w:t xml:space="preserve">ВАТУТІНСЬКИЙ КОМБІНАТ ВОГНЕТРИВІВ</w:t>
      </w:r>
      <w:r>
        <w:rPr>
          <w:rFonts w:ascii="Times New Roman" w:hAnsi="Times New Roman" w:cs="Times New Roman" w:eastAsia="Times New Roman"/>
          <w:b/>
          <w:color w:val="262626"/>
          <w:spacing w:val="0"/>
          <w:position w:val="0"/>
          <w:sz w:val="24"/>
          <w:u w:val="single"/>
          <w:shd w:fill="auto" w:val="clear"/>
        </w:rPr>
        <w:t xml:space="preserve">»</w:t>
      </w:r>
    </w:p>
    <w:p>
      <w:pPr>
        <w:spacing w:before="0" w:after="120" w:line="259"/>
        <w:ind w:right="0" w:left="0" w:firstLine="0"/>
        <w:jc w:val="both"/>
        <w:rPr>
          <w:rFonts w:ascii="Times New Roman" w:hAnsi="Times New Roman" w:cs="Times New Roman" w:eastAsia="Times New Roman"/>
          <w:color w:val="262626"/>
          <w:spacing w:val="0"/>
          <w:position w:val="0"/>
          <w:sz w:val="24"/>
          <w:u w:val="single"/>
          <w:shd w:fill="auto" w:val="clear"/>
        </w:rPr>
      </w:pPr>
    </w:p>
    <w:p>
      <w:pPr>
        <w:spacing w:before="0" w:after="120" w:line="259"/>
        <w:ind w:right="0" w:left="0" w:firstLine="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b/>
          <w:color w:val="262626"/>
          <w:spacing w:val="0"/>
          <w:position w:val="0"/>
          <w:sz w:val="24"/>
          <w:u w:val="single"/>
          <w:shd w:fill="auto" w:val="clear"/>
        </w:rPr>
        <w:t xml:space="preserve">Думка</w:t>
      </w:r>
    </w:p>
    <w:p>
      <w:pPr>
        <w:spacing w:before="0" w:after="120" w:line="259"/>
        <w:ind w:right="0" w:left="0" w:firstLine="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color w:val="262626"/>
          <w:spacing w:val="0"/>
          <w:position w:val="0"/>
          <w:sz w:val="24"/>
          <w:u w:val="single"/>
          <w:shd w:fill="auto" w:val="clear"/>
        </w:rPr>
        <w:t xml:space="preserve">Ми провели аудит фінансової звітності Приватного акціонерного товариства </w:t>
      </w:r>
      <w:r>
        <w:rPr>
          <w:rFonts w:ascii="Times New Roman" w:hAnsi="Times New Roman" w:cs="Times New Roman" w:eastAsia="Times New Roman"/>
          <w:color w:val="262626"/>
          <w:spacing w:val="0"/>
          <w:position w:val="0"/>
          <w:sz w:val="24"/>
          <w:u w:val="single"/>
          <w:shd w:fill="auto" w:val="clear"/>
        </w:rPr>
        <w:t xml:space="preserve">«</w:t>
      </w:r>
      <w:r>
        <w:rPr>
          <w:rFonts w:ascii="Times New Roman" w:hAnsi="Times New Roman" w:cs="Times New Roman" w:eastAsia="Times New Roman"/>
          <w:color w:val="262626"/>
          <w:spacing w:val="0"/>
          <w:position w:val="0"/>
          <w:sz w:val="24"/>
          <w:u w:val="single"/>
          <w:shd w:fill="auto" w:val="clear"/>
        </w:rPr>
        <w:t xml:space="preserve">Ватутінський комбінат вогнетривів</w:t>
      </w:r>
      <w:r>
        <w:rPr>
          <w:rFonts w:ascii="Times New Roman" w:hAnsi="Times New Roman" w:cs="Times New Roman" w:eastAsia="Times New Roman"/>
          <w:color w:val="262626"/>
          <w:spacing w:val="0"/>
          <w:position w:val="0"/>
          <w:sz w:val="24"/>
          <w:u w:val="single"/>
          <w:shd w:fill="auto" w:val="clear"/>
        </w:rPr>
        <w:t xml:space="preserve">» (</w:t>
      </w:r>
      <w:r>
        <w:rPr>
          <w:rFonts w:ascii="Times New Roman" w:hAnsi="Times New Roman" w:cs="Times New Roman" w:eastAsia="Times New Roman"/>
          <w:color w:val="262626"/>
          <w:spacing w:val="0"/>
          <w:position w:val="0"/>
          <w:sz w:val="24"/>
          <w:u w:val="single"/>
          <w:shd w:fill="auto" w:val="clear"/>
        </w:rPr>
        <w:t xml:space="preserve">надалі </w:t>
      </w:r>
      <w:r>
        <w:rPr>
          <w:rFonts w:ascii="Times New Roman" w:hAnsi="Times New Roman" w:cs="Times New Roman" w:eastAsia="Times New Roman"/>
          <w:color w:val="262626"/>
          <w:spacing w:val="0"/>
          <w:position w:val="0"/>
          <w:sz w:val="24"/>
          <w:u w:val="single"/>
          <w:shd w:fill="auto" w:val="clear"/>
        </w:rPr>
        <w:t xml:space="preserve">–</w:t>
      </w:r>
      <w:r>
        <w:rPr>
          <w:rFonts w:ascii="Times New Roman" w:hAnsi="Times New Roman" w:cs="Times New Roman" w:eastAsia="Times New Roman"/>
          <w:color w:val="262626"/>
          <w:spacing w:val="0"/>
          <w:position w:val="0"/>
          <w:sz w:val="24"/>
          <w:u w:val="single"/>
          <w:shd w:fill="auto" w:val="clear"/>
        </w:rPr>
        <w:t xml:space="preserve"> </w:t>
      </w:r>
      <w:r>
        <w:rPr>
          <w:rFonts w:ascii="Times New Roman" w:hAnsi="Times New Roman" w:cs="Times New Roman" w:eastAsia="Times New Roman"/>
          <w:color w:val="262626"/>
          <w:spacing w:val="0"/>
          <w:position w:val="0"/>
          <w:sz w:val="24"/>
          <w:u w:val="single"/>
          <w:shd w:fill="auto" w:val="clear"/>
        </w:rPr>
        <w:t xml:space="preserve">Товариство), що складається із звіту про фінансовий стан (баланс) на 31 грудня 2020 року, звіту про сукупний дохід, звіту про зміни у власному капіталі та звіту про рух грошових коштів за рік, що закінчився зазначеною датою, та приміток до фінансової звітності, включаючи стислий виклад значущих облікових політик.</w:t>
      </w:r>
    </w:p>
    <w:p>
      <w:pPr>
        <w:spacing w:before="0" w:after="120" w:line="259"/>
        <w:ind w:right="0" w:left="0" w:firstLine="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color w:val="262626"/>
          <w:spacing w:val="0"/>
          <w:position w:val="0"/>
          <w:sz w:val="24"/>
          <w:u w:val="single"/>
          <w:shd w:fill="auto" w:val="clear"/>
        </w:rPr>
        <w:t xml:space="preserve">На нашу думку, фінансова звітність, що додається, відображає достовірно, в усіх суттєвих аспектах, фінансовий стан Приватного акціонерного товариства </w:t>
      </w:r>
      <w:r>
        <w:rPr>
          <w:rFonts w:ascii="Times New Roman" w:hAnsi="Times New Roman" w:cs="Times New Roman" w:eastAsia="Times New Roman"/>
          <w:color w:val="262626"/>
          <w:spacing w:val="0"/>
          <w:position w:val="0"/>
          <w:sz w:val="24"/>
          <w:u w:val="single"/>
          <w:shd w:fill="auto" w:val="clear"/>
        </w:rPr>
        <w:t xml:space="preserve">«</w:t>
      </w:r>
      <w:r>
        <w:rPr>
          <w:rFonts w:ascii="Times New Roman" w:hAnsi="Times New Roman" w:cs="Times New Roman" w:eastAsia="Times New Roman"/>
          <w:color w:val="262626"/>
          <w:spacing w:val="0"/>
          <w:position w:val="0"/>
          <w:sz w:val="24"/>
          <w:u w:val="single"/>
          <w:shd w:fill="auto" w:val="clear"/>
        </w:rPr>
        <w:t xml:space="preserve">Ватутінський комбінат вогнетривів</w:t>
      </w:r>
      <w:r>
        <w:rPr>
          <w:rFonts w:ascii="Times New Roman" w:hAnsi="Times New Roman" w:cs="Times New Roman" w:eastAsia="Times New Roman"/>
          <w:color w:val="262626"/>
          <w:spacing w:val="0"/>
          <w:position w:val="0"/>
          <w:sz w:val="24"/>
          <w:u w:val="single"/>
          <w:shd w:fill="auto" w:val="clear"/>
        </w:rPr>
        <w:t xml:space="preserve">» </w:t>
      </w:r>
      <w:r>
        <w:rPr>
          <w:rFonts w:ascii="Times New Roman" w:hAnsi="Times New Roman" w:cs="Times New Roman" w:eastAsia="Times New Roman"/>
          <w:color w:val="262626"/>
          <w:spacing w:val="0"/>
          <w:position w:val="0"/>
          <w:sz w:val="24"/>
          <w:u w:val="single"/>
          <w:shd w:fill="auto" w:val="clear"/>
        </w:rPr>
        <w:t xml:space="preserve">на 31 грудня 2020 року, та його фінансові результати і грошові потоки за рік, що закінчився зазначеною датою, відповідно до Міжнародних стандартів фінансової звітності (МСФЗ).</w:t>
      </w:r>
    </w:p>
    <w:p>
      <w:pPr>
        <w:spacing w:before="0" w:after="120" w:line="259"/>
        <w:ind w:right="0" w:left="0" w:firstLine="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b/>
          <w:color w:val="262626"/>
          <w:spacing w:val="0"/>
          <w:position w:val="0"/>
          <w:sz w:val="24"/>
          <w:u w:val="single"/>
          <w:shd w:fill="auto" w:val="clear"/>
        </w:rPr>
        <w:t xml:space="preserve">Основа для думки</w:t>
      </w:r>
    </w:p>
    <w:p>
      <w:pPr>
        <w:spacing w:before="0" w:after="120" w:line="259"/>
        <w:ind w:right="0" w:left="0" w:firstLine="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color w:val="262626"/>
          <w:spacing w:val="0"/>
          <w:position w:val="0"/>
          <w:sz w:val="24"/>
          <w:u w:val="single"/>
          <w:shd w:fill="auto" w:val="clear"/>
        </w:rPr>
        <w:t xml:space="preserve">Ми провели аудит відповідно до Міжнародних стандартів аудиту (МСА). Нашу відповідальність згідно з цими стандартами викладено в розділі </w:t>
      </w:r>
      <w:r>
        <w:rPr>
          <w:rFonts w:ascii="Times New Roman" w:hAnsi="Times New Roman" w:cs="Times New Roman" w:eastAsia="Times New Roman"/>
          <w:color w:val="262626"/>
          <w:spacing w:val="0"/>
          <w:position w:val="0"/>
          <w:sz w:val="24"/>
          <w:u w:val="single"/>
          <w:shd w:fill="auto" w:val="clear"/>
        </w:rPr>
        <w:t xml:space="preserve">«</w:t>
      </w:r>
      <w:r>
        <w:rPr>
          <w:rFonts w:ascii="Times New Roman" w:hAnsi="Times New Roman" w:cs="Times New Roman" w:eastAsia="Times New Roman"/>
          <w:color w:val="262626"/>
          <w:spacing w:val="0"/>
          <w:position w:val="0"/>
          <w:sz w:val="24"/>
          <w:u w:val="single"/>
          <w:shd w:fill="auto" w:val="clear"/>
        </w:rPr>
        <w:t xml:space="preserve">Відповідальність аудитора за  аудит фінансової звітності</w:t>
      </w:r>
      <w:r>
        <w:rPr>
          <w:rFonts w:ascii="Times New Roman" w:hAnsi="Times New Roman" w:cs="Times New Roman" w:eastAsia="Times New Roman"/>
          <w:color w:val="262626"/>
          <w:spacing w:val="0"/>
          <w:position w:val="0"/>
          <w:sz w:val="24"/>
          <w:u w:val="single"/>
          <w:shd w:fill="auto" w:val="clear"/>
        </w:rPr>
        <w:t xml:space="preserve">» </w:t>
      </w:r>
      <w:r>
        <w:rPr>
          <w:rFonts w:ascii="Times New Roman" w:hAnsi="Times New Roman" w:cs="Times New Roman" w:eastAsia="Times New Roman"/>
          <w:color w:val="262626"/>
          <w:spacing w:val="0"/>
          <w:position w:val="0"/>
          <w:sz w:val="24"/>
          <w:u w:val="single"/>
          <w:shd w:fill="auto" w:val="clear"/>
        </w:rPr>
        <w:t xml:space="preserve">нашого звіту. Ми є незалежними по відношенню до Товариства згідно з  Кодексом Етики Професійних Бухгалтерів Ради з міжнародних стандартів етики для бухгалтерів (Кодекс РМСЕБ) та етичними вимогами, застосовними в Україні до нашого аудиту фінансової звітності, а також виконали інші обов’язки з етики відповідно до цих вимог та Кодексу РМСЕБ. Ми вважаємо, що отримані нами аудиторські докази є достатніми і прийнятними для використання їх як основи для нашої думки.</w:t>
      </w:r>
    </w:p>
    <w:p>
      <w:pPr>
        <w:spacing w:before="0" w:after="120" w:line="259"/>
        <w:ind w:right="0" w:left="0" w:firstLine="0"/>
        <w:jc w:val="left"/>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b/>
          <w:color w:val="262626"/>
          <w:spacing w:val="0"/>
          <w:position w:val="0"/>
          <w:sz w:val="24"/>
          <w:u w:val="single"/>
          <w:shd w:fill="auto" w:val="clear"/>
        </w:rPr>
        <w:t xml:space="preserve">Пояснювальний параграф</w:t>
      </w:r>
    </w:p>
    <w:p>
      <w:pPr>
        <w:spacing w:before="0" w:after="120" w:line="259"/>
        <w:ind w:right="0" w:left="0" w:firstLine="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color w:val="262626"/>
          <w:spacing w:val="0"/>
          <w:position w:val="0"/>
          <w:sz w:val="24"/>
          <w:u w:val="single"/>
          <w:shd w:fill="auto" w:val="clear"/>
        </w:rPr>
        <w:t xml:space="preserve">Ми звертаємо увагу на високу концентрацію господарських операцій Товариства з пов’язаними сторонами, про що описано у примітці 6 у фінансовій звітності. Нашу думку не було модифіковано щодо цього питання.</w:t>
      </w:r>
    </w:p>
    <w:p>
      <w:pPr>
        <w:spacing w:before="0" w:after="120" w:line="259"/>
        <w:ind w:right="0" w:left="0" w:firstLine="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b/>
          <w:color w:val="262626"/>
          <w:spacing w:val="0"/>
          <w:position w:val="0"/>
          <w:sz w:val="24"/>
          <w:u w:val="single"/>
          <w:shd w:fill="auto" w:val="clear"/>
        </w:rPr>
        <w:t xml:space="preserve">Інша інформація</w:t>
      </w:r>
    </w:p>
    <w:p>
      <w:pPr>
        <w:spacing w:before="0" w:after="120" w:line="259"/>
        <w:ind w:right="0" w:left="0" w:firstLine="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color w:val="262626"/>
          <w:spacing w:val="0"/>
          <w:position w:val="0"/>
          <w:sz w:val="24"/>
          <w:u w:val="single"/>
          <w:shd w:fill="auto" w:val="clear"/>
        </w:rPr>
        <w:t xml:space="preserve">Управлінський персонал несе відповідальність за іншу інформацію. Інша інформація складається з інформації, яка міститься в Звіті про управління за 2020 рік, що призначений для акціонерів та Наглядової Ради Товариства, та у </w:t>
      </w:r>
      <w:r>
        <w:rPr>
          <w:rFonts w:ascii="Times New Roman" w:hAnsi="Times New Roman" w:cs="Times New Roman" w:eastAsia="Times New Roman"/>
          <w:color w:val="000000"/>
          <w:spacing w:val="0"/>
          <w:position w:val="0"/>
          <w:sz w:val="24"/>
          <w:u w:val="single"/>
          <w:shd w:fill="auto" w:val="clear"/>
        </w:rPr>
        <w:t xml:space="preserve">Рiчній iнформацiї емiтента цiнних паперiв за 2020 рiк</w:t>
      </w:r>
      <w:r>
        <w:rPr>
          <w:rFonts w:ascii="Times New Roman" w:hAnsi="Times New Roman" w:cs="Times New Roman" w:eastAsia="Times New Roman"/>
          <w:color w:val="262626"/>
          <w:spacing w:val="0"/>
          <w:position w:val="0"/>
          <w:sz w:val="24"/>
          <w:u w:val="single"/>
          <w:shd w:fill="auto" w:val="clear"/>
        </w:rPr>
        <w:t xml:space="preserve">. Ця інформація не є фінансовою звітністю та нашим звітом аудитора щодо неї. Очікується, що Звіт про управління за 2020 рік та </w:t>
      </w:r>
      <w:r>
        <w:rPr>
          <w:rFonts w:ascii="Times New Roman" w:hAnsi="Times New Roman" w:cs="Times New Roman" w:eastAsia="Times New Roman"/>
          <w:color w:val="000000"/>
          <w:spacing w:val="0"/>
          <w:position w:val="0"/>
          <w:sz w:val="24"/>
          <w:u w:val="single"/>
          <w:shd w:fill="auto" w:val="clear"/>
        </w:rPr>
        <w:t xml:space="preserve">Рiчна iнформацiя емiтента цiнних паперiв за 2020 рiк</w:t>
      </w:r>
      <w:r>
        <w:rPr>
          <w:rFonts w:ascii="Times New Roman" w:hAnsi="Times New Roman" w:cs="Times New Roman" w:eastAsia="Times New Roman"/>
          <w:color w:val="262626"/>
          <w:spacing w:val="0"/>
          <w:position w:val="0"/>
          <w:sz w:val="24"/>
          <w:u w:val="single"/>
          <w:shd w:fill="auto" w:val="clear"/>
        </w:rPr>
        <w:t xml:space="preserve"> будуть надані нам після дати цього звіту аудитора.</w:t>
        <w:br/>
        <w:t xml:space="preserve">Наша думка щодо фінансової звітності не поширюється на іншу інформацію та ми не робимо висновок з будь-яким рівнем впевненості щодо цієї іншої інформації. У зв’язку з нашим аудитом фінансової звітності нашою відповідальністю є ознайомитися з іншою інформацією, зазначеною вище, якщо вона буде нам надана, та при цьому розглянути, чи існує суттєва невідповідність між іншою інформацією та фінансовою звітністю або інформацією, отриманою нами під час аудиту, або чи ця інформація має вигляд такої, що містить суттєве викривлення. У разі, коли ми ознайомимося із вказаними вище звітами, та дійдемо висновку, що вони містять суттєве викривлення, нам потрібно повідомити інформацію про це питання, тим, кого наділено найвищими повноваженнями.</w:t>
      </w:r>
    </w:p>
    <w:p>
      <w:pPr>
        <w:spacing w:before="0" w:after="120" w:line="259"/>
        <w:ind w:right="0" w:left="0" w:firstLine="0"/>
        <w:jc w:val="left"/>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b/>
          <w:color w:val="262626"/>
          <w:spacing w:val="0"/>
          <w:position w:val="0"/>
          <w:sz w:val="24"/>
          <w:u w:val="single"/>
          <w:shd w:fill="auto" w:val="clear"/>
        </w:rPr>
        <w:t xml:space="preserve">Відповідальність управлінського персоналу за фінансову звітність </w:t>
      </w:r>
    </w:p>
    <w:p>
      <w:pPr>
        <w:spacing w:before="0" w:after="120" w:line="259"/>
        <w:ind w:right="0" w:left="0" w:firstLine="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color w:val="262626"/>
          <w:spacing w:val="0"/>
          <w:position w:val="0"/>
          <w:sz w:val="24"/>
          <w:u w:val="single"/>
          <w:shd w:fill="auto" w:val="clear"/>
        </w:rPr>
        <w:t xml:space="preserve">Управлінський персонал несе відповідальність за складання і достовірне подання фінансової звітності відповідно до МСФЗ та за таку систему внутрішнього контролю, яку управлінський персонал визначає потрібною для того, щоб забезпечити складання фінансової звітності, що не містить суттєвих викривлень внаслідок шахрайства або помилки.</w:t>
      </w:r>
    </w:p>
    <w:p>
      <w:pPr>
        <w:spacing w:before="0" w:after="120" w:line="259"/>
        <w:ind w:right="0" w:left="0" w:firstLine="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color w:val="262626"/>
          <w:spacing w:val="0"/>
          <w:position w:val="0"/>
          <w:sz w:val="24"/>
          <w:u w:val="single"/>
          <w:shd w:fill="auto" w:val="clear"/>
        </w:rPr>
        <w:t xml:space="preserve">При складанні фінансової звітності управлінський персонал несе відповідальність за оцінку здатності Товариства продовжувати свою діяльність на безперервній основі, розкриваючи, де це застосовано, питання, що стосуються безперервності діяльності, та використовуючи припущення про безперервність діяльності як основи для бухгалтерського обліку, окрім випадків, коли управлінський персонал або планує ліквідувати Товариство чи припинити діяльність, або не має інших реальних альтернатив цьому.</w:t>
      </w:r>
    </w:p>
    <w:p>
      <w:pPr>
        <w:spacing w:before="0" w:after="120" w:line="259"/>
        <w:ind w:right="0" w:left="0" w:firstLine="0"/>
        <w:jc w:val="left"/>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b/>
          <w:color w:val="262626"/>
          <w:spacing w:val="0"/>
          <w:position w:val="0"/>
          <w:sz w:val="24"/>
          <w:u w:val="single"/>
          <w:shd w:fill="auto" w:val="clear"/>
        </w:rPr>
        <w:t xml:space="preserve">Відповідальність аудитора за аудит фінансової звітності</w:t>
      </w:r>
    </w:p>
    <w:p>
      <w:pPr>
        <w:spacing w:before="0" w:after="120" w:line="259"/>
        <w:ind w:right="0" w:left="0" w:firstLine="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color w:val="262626"/>
          <w:spacing w:val="0"/>
          <w:position w:val="0"/>
          <w:sz w:val="24"/>
          <w:u w:val="single"/>
          <w:shd w:fill="auto" w:val="clear"/>
        </w:rPr>
        <w:t xml:space="preserve">Нашою метою є отримання об</w:t>
      </w:r>
      <w:r>
        <w:rPr>
          <w:rFonts w:ascii="Times New Roman" w:hAnsi="Times New Roman" w:cs="Times New Roman" w:eastAsia="Times New Roman"/>
          <w:color w:val="262626"/>
          <w:spacing w:val="0"/>
          <w:position w:val="0"/>
          <w:sz w:val="24"/>
          <w:u w:val="single"/>
          <w:shd w:fill="auto" w:val="clear"/>
        </w:rPr>
        <w:t xml:space="preserve">ґрунтованої впевненості, що фінансова звітність в цілому не містить суттєвого викривлення внаслідок шахрайства або помилки, та випуск звіту аудитора, що містить нашу думку. Обґрунтована впевненість є високим рівнем впевненості, проте не гарантує, що аудит, проведений відповідно до МСА, завжди виявить суттєве викривлення, коли воно існує. Викривлення можуть бути результатом шахрайства або помилки; вони вважаються суттєвими, якщо окремо або в сукупності, як обґрунтовано очікується, вони можуть впливати на економічні рішення користувачів, що приймаються на основі цієї фінансової звітності.</w:t>
      </w:r>
    </w:p>
    <w:p>
      <w:pPr>
        <w:spacing w:before="240" w:after="240" w:line="259"/>
        <w:ind w:right="0" w:left="0" w:firstLine="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color w:val="262626"/>
          <w:spacing w:val="0"/>
          <w:position w:val="0"/>
          <w:sz w:val="24"/>
          <w:u w:val="single"/>
          <w:shd w:fill="auto" w:val="clear"/>
        </w:rPr>
        <w:t xml:space="preserve">Виконуючи аудит відповідно до МСА, ми використовуємо професійне судження та професійний скептицизм протягом всього завдання з аудиту.  Окрім того, ми:</w:t>
      </w:r>
    </w:p>
    <w:p>
      <w:pPr>
        <w:numPr>
          <w:ilvl w:val="0"/>
          <w:numId w:val="60"/>
        </w:numPr>
        <w:spacing w:before="240" w:after="0" w:line="276"/>
        <w:ind w:right="0" w:left="720" w:hanging="36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color w:val="262626"/>
          <w:spacing w:val="0"/>
          <w:position w:val="0"/>
          <w:sz w:val="24"/>
          <w:u w:val="single"/>
          <w:shd w:fill="auto" w:val="clear"/>
        </w:rPr>
        <w:t xml:space="preserve">ідентифікуємо та визначаємо ризики суттєвого викривлення фінансової звітності внаслідок шахрайства чи помилки, розробляємо та виконуємо аудиторські процедури у відповідь на ці ризики, та отримуємо аудиторські докази, що є достатніми та прийнятними для використання їх як основи для нашої думки. Ризик не виявлення суттєвого викривлення внаслідок шахрайства є вищим, ніж для викривлення внаслідок помилки, оскільки шахрайство може включати змову, підробку, навмисні пропуски, невірні твердження або нехтування заходами внутрішнього контролю;</w:t>
      </w:r>
    </w:p>
    <w:p>
      <w:pPr>
        <w:numPr>
          <w:ilvl w:val="0"/>
          <w:numId w:val="60"/>
        </w:numPr>
        <w:spacing w:before="0" w:after="0" w:line="276"/>
        <w:ind w:right="0" w:left="720" w:hanging="36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color w:val="262626"/>
          <w:spacing w:val="0"/>
          <w:position w:val="0"/>
          <w:sz w:val="24"/>
          <w:u w:val="single"/>
          <w:shd w:fill="auto" w:val="clear"/>
        </w:rPr>
        <w:t xml:space="preserve">отримуємо розуміння заходів внутрішнього контролю, що стосуються аудиту, для розробки аудиторських процедур, які б відповідали обставинам, а не для висловлення думки щодо ефективності системи внутрішнього контролю Товариства;</w:t>
      </w:r>
    </w:p>
    <w:p>
      <w:pPr>
        <w:numPr>
          <w:ilvl w:val="0"/>
          <w:numId w:val="60"/>
        </w:numPr>
        <w:spacing w:before="0" w:after="0" w:line="276"/>
        <w:ind w:right="0" w:left="720" w:hanging="36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color w:val="262626"/>
          <w:spacing w:val="0"/>
          <w:position w:val="0"/>
          <w:sz w:val="24"/>
          <w:u w:val="single"/>
          <w:shd w:fill="auto" w:val="clear"/>
        </w:rPr>
        <w:t xml:space="preserve">оцінюємо прийнятність застосованих облікових політик та об</w:t>
      </w:r>
      <w:r>
        <w:rPr>
          <w:rFonts w:ascii="Times New Roman" w:hAnsi="Times New Roman" w:cs="Times New Roman" w:eastAsia="Times New Roman"/>
          <w:color w:val="262626"/>
          <w:spacing w:val="0"/>
          <w:position w:val="0"/>
          <w:sz w:val="24"/>
          <w:u w:val="single"/>
          <w:shd w:fill="auto" w:val="clear"/>
        </w:rPr>
        <w:t xml:space="preserve">ґрунтованість облікових оцінок та відповідних розкриттів інформації, зроблених управлінським персоналом; </w:t>
      </w:r>
    </w:p>
    <w:p>
      <w:pPr>
        <w:numPr>
          <w:ilvl w:val="0"/>
          <w:numId w:val="60"/>
        </w:numPr>
        <w:spacing w:before="0" w:after="0" w:line="276"/>
        <w:ind w:right="0" w:left="720" w:hanging="36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color w:val="262626"/>
          <w:spacing w:val="0"/>
          <w:position w:val="0"/>
          <w:sz w:val="24"/>
          <w:u w:val="single"/>
          <w:shd w:fill="auto" w:val="clear"/>
        </w:rPr>
        <w:t xml:space="preserve">доходимо висновку щодо прийнятності використання управлінським персоналом припущення про безперервність діяльності як основи для бухгалтерського обліку та, на основі отриманих аудиторських доказів, доходимо висновку, чи існує суттєва невизначеність щодо подій або умов, які поставили б під значний сумнів здатність Товариства продовжувати безперервну діяльність. Якщо ми доходимо висновку щодо існування такої суттєвої невизначеності, ми повинні привернути увагу в своєму звіті аудитора до відповідних розкриттів інформації у фінансовій звітності або, якщо такі розкриття інформації є неналежними, модифікувати свою думку. Наші висновки </w:t>
      </w:r>
      <w:r>
        <w:rPr>
          <w:rFonts w:ascii="Times New Roman" w:hAnsi="Times New Roman" w:cs="Times New Roman" w:eastAsia="Times New Roman"/>
          <w:color w:val="262626"/>
          <w:spacing w:val="0"/>
          <w:position w:val="0"/>
          <w:sz w:val="24"/>
          <w:u w:val="single"/>
          <w:shd w:fill="auto" w:val="clear"/>
        </w:rPr>
        <w:t xml:space="preserve">ґрунтуються на аудиторських доказах, отриманих до дати нашого звіту аудитора. Тим не менш, майбутні події або умови можуть примусити Товариство припинити свою діяльність на безперервній основі;</w:t>
      </w:r>
    </w:p>
    <w:p>
      <w:pPr>
        <w:numPr>
          <w:ilvl w:val="0"/>
          <w:numId w:val="60"/>
        </w:numPr>
        <w:spacing w:before="0" w:after="240" w:line="276"/>
        <w:ind w:right="0" w:left="720" w:hanging="360"/>
        <w:jc w:val="both"/>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color w:val="262626"/>
          <w:spacing w:val="0"/>
          <w:position w:val="0"/>
          <w:sz w:val="24"/>
          <w:u w:val="single"/>
          <w:shd w:fill="auto" w:val="clear"/>
        </w:rPr>
        <w:t xml:space="preserve">оцінюємо загальне подання, структуру та зміст фінансової звітності включно з розкриттями інформації, а також те, чи показує фінансова звітність операції та події, що лежать в основі її складання, так, щоб досягти достовірного відображення.</w:t>
      </w:r>
    </w:p>
    <w:p>
      <w:pPr>
        <w:spacing w:before="0" w:after="160" w:line="259"/>
        <w:ind w:right="0" w:left="0" w:firstLine="0"/>
        <w:jc w:val="left"/>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color w:val="262626"/>
          <w:spacing w:val="0"/>
          <w:position w:val="0"/>
          <w:sz w:val="24"/>
          <w:u w:val="single"/>
          <w:shd w:fill="auto" w:val="clear"/>
        </w:rPr>
        <w:t xml:space="preserve">Ми також надаємо тим, кого наділено найвищими повноваженнями, твердження, що ми виконали відповідні етичні вимоги щодо незалежності, та повідомляємо їм про всі стосунки й інші питання, які могли б об</w:t>
      </w:r>
      <w:r>
        <w:rPr>
          <w:rFonts w:ascii="Times New Roman" w:hAnsi="Times New Roman" w:cs="Times New Roman" w:eastAsia="Times New Roman"/>
          <w:color w:val="262626"/>
          <w:spacing w:val="0"/>
          <w:position w:val="0"/>
          <w:sz w:val="24"/>
          <w:u w:val="single"/>
          <w:shd w:fill="auto" w:val="clear"/>
        </w:rPr>
        <w:t xml:space="preserve">ґрунтовано вважатись такими, що впливають на нашу незалежність, а також, де це застосовано, щодо відповідних застережних заходів.</w:t>
      </w:r>
    </w:p>
    <w:p>
      <w:pPr>
        <w:spacing w:before="0" w:after="160" w:line="259"/>
        <w:ind w:right="0" w:left="0" w:firstLine="0"/>
        <w:jc w:val="left"/>
        <w:rPr>
          <w:rFonts w:ascii="Times New Roman" w:hAnsi="Times New Roman" w:cs="Times New Roman" w:eastAsia="Times New Roman"/>
          <w:color w:val="262626"/>
          <w:spacing w:val="0"/>
          <w:position w:val="0"/>
          <w:sz w:val="24"/>
          <w:u w:val="single"/>
          <w:shd w:fill="auto" w:val="clear"/>
        </w:rPr>
      </w:pPr>
      <w:r>
        <w:rPr>
          <w:rFonts w:ascii="Times New Roman" w:hAnsi="Times New Roman" w:cs="Times New Roman" w:eastAsia="Times New Roman"/>
          <w:color w:val="262626"/>
          <w:spacing w:val="0"/>
          <w:position w:val="0"/>
          <w:sz w:val="24"/>
          <w:u w:val="single"/>
          <w:shd w:fill="auto" w:val="clear"/>
        </w:rPr>
        <w:t xml:space="preserve">З переліку всіх питань, інформація щодо яких надавалась управлінському персоналу, ми визначили ті, що мали найбільше значення під час аудиту фінансової звітності поточного періоду.</w:t>
      </w:r>
    </w:p>
    <w:p>
      <w:pPr>
        <w:spacing w:before="0" w:after="160" w:line="259"/>
        <w:ind w:right="0" w:left="0" w:firstLine="0"/>
        <w:jc w:val="left"/>
        <w:rPr>
          <w:rFonts w:ascii="Times New Roman" w:hAnsi="Times New Roman" w:cs="Times New Roman" w:eastAsia="Times New Roman"/>
          <w:color w:val="000000"/>
          <w:spacing w:val="0"/>
          <w:position w:val="0"/>
          <w:sz w:val="24"/>
          <w:u w:val="single"/>
          <w:shd w:fill="auto" w:val="clear"/>
        </w:rPr>
      </w:pPr>
    </w:p>
    <w:tbl>
      <w:tblPr/>
      <w:tblGrid>
        <w:gridCol w:w="5778"/>
        <w:gridCol w:w="3793"/>
      </w:tblGrid>
      <w:tr>
        <w:trPr>
          <w:trHeight w:val="1" w:hRule="atLeast"/>
          <w:jc w:val="left"/>
        </w:trPr>
        <w:tc>
          <w:tcPr>
            <w:tcW w:w="577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tabs>
                <w:tab w:val="left" w:pos="142" w:leader="none"/>
              </w:tabs>
              <w:spacing w:before="0" w:after="16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Ключовий партнер з аудиту, аудитор </w:t>
            </w:r>
          </w:p>
          <w:p>
            <w:pPr>
              <w:spacing w:before="0" w:after="160" w:line="259"/>
              <w:ind w:right="0" w:left="0" w:firstLine="0"/>
              <w:jc w:val="left"/>
              <w:rPr>
                <w:spacing w:val="0"/>
                <w:position w:val="0"/>
              </w:rPr>
            </w:pPr>
            <w:r>
              <w:rPr>
                <w:rFonts w:ascii="Times New Roman" w:hAnsi="Times New Roman" w:cs="Times New Roman" w:eastAsia="Times New Roman"/>
                <w:b/>
                <w:color w:val="000000"/>
                <w:spacing w:val="0"/>
                <w:position w:val="0"/>
                <w:sz w:val="22"/>
                <w:u w:val="single"/>
                <w:shd w:fill="auto" w:val="clear"/>
              </w:rPr>
              <w:t xml:space="preserve">ТОВ </w:t>
            </w:r>
            <w:r>
              <w:rPr>
                <w:rFonts w:ascii="Times New Roman" w:hAnsi="Times New Roman" w:cs="Times New Roman" w:eastAsia="Times New Roman"/>
                <w:b/>
                <w:color w:val="000000"/>
                <w:spacing w:val="0"/>
                <w:position w:val="0"/>
                <w:sz w:val="22"/>
                <w:u w:val="single"/>
                <w:shd w:fill="auto" w:val="clear"/>
              </w:rPr>
              <w:t xml:space="preserve">«</w:t>
            </w:r>
            <w:r>
              <w:rPr>
                <w:rFonts w:ascii="Times New Roman" w:hAnsi="Times New Roman" w:cs="Times New Roman" w:eastAsia="Times New Roman"/>
                <w:b/>
                <w:color w:val="000000"/>
                <w:spacing w:val="0"/>
                <w:position w:val="0"/>
                <w:sz w:val="22"/>
                <w:u w:val="single"/>
                <w:shd w:fill="auto" w:val="clear"/>
              </w:rPr>
              <w:t xml:space="preserve">АУДИТОРСЬКА ФІРМА </w:t>
            </w:r>
            <w:r>
              <w:rPr>
                <w:rFonts w:ascii="Times New Roman" w:hAnsi="Times New Roman" w:cs="Times New Roman" w:eastAsia="Times New Roman"/>
                <w:b/>
                <w:color w:val="000000"/>
                <w:spacing w:val="0"/>
                <w:position w:val="0"/>
                <w:sz w:val="22"/>
                <w:u w:val="single"/>
                <w:shd w:fill="auto" w:val="clear"/>
              </w:rPr>
              <w:t xml:space="preserve">«</w:t>
            </w:r>
            <w:r>
              <w:rPr>
                <w:rFonts w:ascii="Times New Roman" w:hAnsi="Times New Roman" w:cs="Times New Roman" w:eastAsia="Times New Roman"/>
                <w:b/>
                <w:color w:val="000000"/>
                <w:spacing w:val="0"/>
                <w:position w:val="0"/>
                <w:sz w:val="22"/>
                <w:u w:val="single"/>
                <w:shd w:fill="auto" w:val="clear"/>
              </w:rPr>
              <w:t xml:space="preserve">АТТОРНЕЙ ПЛЮС</w:t>
            </w:r>
            <w:r>
              <w:rPr>
                <w:rFonts w:ascii="Times New Roman" w:hAnsi="Times New Roman" w:cs="Times New Roman" w:eastAsia="Times New Roman"/>
                <w:b/>
                <w:color w:val="000000"/>
                <w:spacing w:val="0"/>
                <w:position w:val="0"/>
                <w:sz w:val="22"/>
                <w:u w:val="single"/>
                <w:shd w:fill="auto" w:val="clear"/>
              </w:rPr>
              <w:t xml:space="preserve">»   </w:t>
            </w:r>
          </w:p>
        </w:tc>
        <w:tc>
          <w:tcPr>
            <w:tcW w:w="379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160" w:line="259"/>
              <w:ind w:right="0" w:left="0" w:firstLine="0"/>
              <w:jc w:val="right"/>
              <w:rPr>
                <w:spacing w:val="0"/>
                <w:position w:val="0"/>
              </w:rPr>
            </w:pPr>
            <w:r>
              <w:rPr>
                <w:rFonts w:ascii="Times New Roman" w:hAnsi="Times New Roman" w:cs="Times New Roman" w:eastAsia="Times New Roman"/>
                <w:b/>
                <w:color w:val="000000"/>
                <w:spacing w:val="0"/>
                <w:position w:val="0"/>
                <w:sz w:val="24"/>
                <w:u w:val="single"/>
                <w:shd w:fill="auto" w:val="clear"/>
              </w:rPr>
              <w:t xml:space="preserve">Скалацька Наталя Михайлівна</w:t>
            </w:r>
          </w:p>
        </w:tc>
      </w:tr>
      <w:tr>
        <w:trPr>
          <w:trHeight w:val="1" w:hRule="atLeast"/>
          <w:jc w:val="left"/>
        </w:trPr>
        <w:tc>
          <w:tcPr>
            <w:tcW w:w="577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2"/>
                <w:u w:val="single"/>
                <w:shd w:fill="auto" w:val="clear"/>
              </w:rPr>
            </w:pPr>
            <w:r>
              <w:rPr>
                <w:rFonts w:ascii="Times New Roman" w:hAnsi="Times New Roman" w:cs="Times New Roman" w:eastAsia="Times New Roman"/>
                <w:color w:val="000000"/>
                <w:spacing w:val="0"/>
                <w:position w:val="0"/>
                <w:sz w:val="22"/>
                <w:u w:val="single"/>
                <w:shd w:fill="auto" w:val="clear"/>
              </w:rPr>
              <w:t xml:space="preserve">Сертифікат аудитора серії А </w:t>
            </w:r>
            <w:r>
              <w:rPr>
                <w:rFonts w:ascii="Segoe UI Symbol" w:hAnsi="Segoe UI Symbol" w:cs="Segoe UI Symbol" w:eastAsia="Segoe UI Symbol"/>
                <w:color w:val="000000"/>
                <w:spacing w:val="0"/>
                <w:position w:val="0"/>
                <w:sz w:val="22"/>
                <w:u w:val="single"/>
                <w:shd w:fill="auto" w:val="clear"/>
              </w:rPr>
              <w:t xml:space="preserve">№</w:t>
            </w:r>
            <w:r>
              <w:rPr>
                <w:rFonts w:ascii="Times New Roman" w:hAnsi="Times New Roman" w:cs="Times New Roman" w:eastAsia="Times New Roman"/>
                <w:color w:val="000000"/>
                <w:spacing w:val="0"/>
                <w:position w:val="0"/>
                <w:sz w:val="22"/>
                <w:u w:val="single"/>
                <w:shd w:fill="auto" w:val="clear"/>
              </w:rPr>
              <w:t xml:space="preserve"> 001588  </w:t>
            </w:r>
          </w:p>
          <w:p>
            <w:pPr>
              <w:spacing w:before="0" w:after="0" w:line="240"/>
              <w:ind w:right="0" w:left="0" w:firstLine="0"/>
              <w:jc w:val="left"/>
              <w:rPr>
                <w:rFonts w:ascii="Times New Roman" w:hAnsi="Times New Roman" w:cs="Times New Roman" w:eastAsia="Times New Roman"/>
                <w:color w:val="000000"/>
                <w:spacing w:val="0"/>
                <w:position w:val="0"/>
                <w:sz w:val="22"/>
                <w:u w:val="single"/>
                <w:shd w:fill="auto" w:val="clear"/>
              </w:rPr>
            </w:pPr>
            <w:r>
              <w:rPr>
                <w:rFonts w:ascii="Times New Roman" w:hAnsi="Times New Roman" w:cs="Times New Roman" w:eastAsia="Times New Roman"/>
                <w:color w:val="000000"/>
                <w:spacing w:val="0"/>
                <w:position w:val="0"/>
                <w:sz w:val="22"/>
                <w:u w:val="single"/>
                <w:shd w:fill="auto" w:val="clear"/>
              </w:rPr>
              <w:t xml:space="preserve">від  30.06.1994 р. чинний до 30.06.2023р.</w:t>
            </w:r>
          </w:p>
          <w:p>
            <w:pPr>
              <w:spacing w:before="0" w:after="0" w:line="240"/>
              <w:ind w:right="0" w:left="0" w:firstLine="0"/>
              <w:jc w:val="left"/>
              <w:rPr>
                <w:rFonts w:ascii="Times New Roman" w:hAnsi="Times New Roman" w:cs="Times New Roman" w:eastAsia="Times New Roman"/>
                <w:color w:val="000000"/>
                <w:spacing w:val="0"/>
                <w:position w:val="0"/>
                <w:sz w:val="22"/>
                <w:u w:val="single"/>
                <w:shd w:fill="auto" w:val="clear"/>
              </w:rPr>
            </w:pPr>
            <w:r>
              <w:rPr>
                <w:rFonts w:ascii="Times New Roman" w:hAnsi="Times New Roman" w:cs="Times New Roman" w:eastAsia="Times New Roman"/>
                <w:color w:val="000000"/>
                <w:spacing w:val="0"/>
                <w:position w:val="0"/>
                <w:sz w:val="22"/>
                <w:u w:val="single"/>
                <w:shd w:fill="auto" w:val="clear"/>
              </w:rPr>
              <w:t xml:space="preserve">номер в Реєстрі аудиторів 100770</w:t>
            </w:r>
          </w:p>
          <w:p>
            <w:pPr>
              <w:spacing w:before="0" w:after="160" w:line="259"/>
              <w:ind w:right="0" w:left="0" w:firstLine="0"/>
              <w:jc w:val="left"/>
              <w:rPr>
                <w:spacing w:val="0"/>
                <w:position w:val="0"/>
                <w:sz w:val="22"/>
              </w:rPr>
            </w:pPr>
            <w:hyperlink xmlns:r="http://schemas.openxmlformats.org/officeDocument/2006/relationships" r:id="docRId0">
              <w:r>
                <w:rPr>
                  <w:rFonts w:ascii="Times New Roman" w:hAnsi="Times New Roman" w:cs="Times New Roman" w:eastAsia="Times New Roman"/>
                  <w:color w:val="000000"/>
                  <w:spacing w:val="0"/>
                  <w:position w:val="0"/>
                  <w:sz w:val="22"/>
                  <w:u w:val="single"/>
                  <w:shd w:fill="auto" w:val="clear"/>
                </w:rPr>
                <w:t xml:space="preserve">https://www.apu.com.ua</w:t>
              </w:r>
            </w:hyperlink>
          </w:p>
        </w:tc>
        <w:tc>
          <w:tcPr>
            <w:tcW w:w="379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160" w:line="259"/>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577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офіс 512,  вул. Байди Вишневецького 37,  </w:t>
            </w:r>
          </w:p>
          <w:p>
            <w:pPr>
              <w:spacing w:before="0" w:after="0" w:line="240"/>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м. Черкаси, Україна, 18000</w:t>
            </w:r>
          </w:p>
          <w:p>
            <w:pPr>
              <w:spacing w:before="0" w:after="0" w:line="240"/>
              <w:ind w:right="0" w:left="0" w:firstLine="0"/>
              <w:jc w:val="left"/>
              <w:rPr>
                <w:spacing w:val="0"/>
                <w:position w:val="0"/>
              </w:rPr>
            </w:pPr>
          </w:p>
        </w:tc>
        <w:tc>
          <w:tcPr>
            <w:tcW w:w="379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160" w:line="259"/>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577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160" w:line="259"/>
              <w:ind w:right="0" w:left="0" w:firstLine="0"/>
              <w:jc w:val="left"/>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03 </w:t>
            </w:r>
            <w:r>
              <w:rPr>
                <w:rFonts w:ascii="Times New Roman" w:hAnsi="Times New Roman" w:cs="Times New Roman" w:eastAsia="Times New Roman"/>
                <w:b/>
                <w:color w:val="auto"/>
                <w:spacing w:val="0"/>
                <w:position w:val="0"/>
                <w:sz w:val="24"/>
                <w:u w:val="single"/>
                <w:shd w:fill="auto" w:val="clear"/>
              </w:rPr>
              <w:t xml:space="preserve">квітня 2021 року</w:t>
            </w:r>
          </w:p>
          <w:p>
            <w:pPr>
              <w:spacing w:before="0" w:after="0" w:line="240"/>
              <w:ind w:right="0" w:left="0" w:firstLine="0"/>
              <w:jc w:val="left"/>
              <w:rPr>
                <w:color w:val="auto"/>
                <w:spacing w:val="0"/>
                <w:position w:val="0"/>
              </w:rPr>
            </w:pPr>
          </w:p>
        </w:tc>
        <w:tc>
          <w:tcPr>
            <w:tcW w:w="379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160" w:line="259"/>
              <w:ind w:right="0" w:left="0" w:firstLine="0"/>
              <w:jc w:val="right"/>
              <w:rPr>
                <w:rFonts w:ascii="Calibri" w:hAnsi="Calibri" w:cs="Calibri" w:eastAsia="Calibri"/>
                <w:color w:val="auto"/>
                <w:spacing w:val="0"/>
                <w:position w:val="0"/>
                <w:sz w:val="22"/>
                <w:shd w:fill="auto" w:val="clear"/>
              </w:rPr>
            </w:pPr>
          </w:p>
        </w:tc>
      </w:tr>
    </w:tbl>
    <w:p>
      <w:pPr>
        <w:keepNext w:val="true"/>
        <w:spacing w:before="0" w:after="0" w:line="240"/>
        <w:ind w:right="0" w:left="709" w:hanging="431"/>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keepNext w:val="true"/>
        <w:spacing w:before="0" w:after="0" w:line="240"/>
        <w:ind w:right="0" w:left="709" w:hanging="431"/>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ЗАЯВА</w:t>
      </w:r>
    </w:p>
    <w:p>
      <w:pPr>
        <w:keepNext w:val="true"/>
        <w:spacing w:before="0" w:after="0" w:line="240"/>
        <w:ind w:right="0" w:left="709" w:hanging="431"/>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ПРО ВІДПОВІДАЛЬНІСТЬ  КЕРІВНИЦТВА</w:t>
      </w:r>
    </w:p>
    <w:p>
      <w:pPr>
        <w:keepNext w:val="true"/>
        <w:spacing w:before="0" w:after="0" w:line="240"/>
        <w:ind w:right="0" w:left="709" w:hanging="431"/>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ЗА ПІДГОТОВКУ І ЗАТВЕРДЖЕННЯ ФІНАНСОВОЇ ЗВІТНОСТІ</w:t>
      </w:r>
    </w:p>
    <w:p>
      <w:pPr>
        <w:spacing w:before="0" w:after="160" w:line="259"/>
        <w:ind w:right="0" w:left="0" w:firstLine="709"/>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p>
    <w:p>
      <w:pPr>
        <w:spacing w:before="0" w:after="160" w:line="259"/>
        <w:ind w:right="0" w:left="0" w:firstLine="72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Керівництво Товариства відповідає за підготовку фінансової звітності, яка достовірно відображає у всіх суттєвих аспектах фінансовий стан ПрАТ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Ватутінський комбінат вогнетривів</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станом на 31 грудня 2020 року, а також рух грошових коштів і зміни в капіталі за рік, що закінчився на цю дату відповідно до міжнародних стандартів фінансової звітності (МСФЗ).</w:t>
      </w:r>
    </w:p>
    <w:p>
      <w:pPr>
        <w:spacing w:before="0" w:after="16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При підготовці фінансової звітності керівництво Товариства несе відповідальність за:</w:t>
      </w:r>
    </w:p>
    <w:p>
      <w:pPr>
        <w:numPr>
          <w:ilvl w:val="0"/>
          <w:numId w:val="86"/>
        </w:numPr>
        <w:tabs>
          <w:tab w:val="left" w:pos="567" w:leader="none"/>
        </w:tabs>
        <w:spacing w:before="0" w:after="0" w:line="276"/>
        <w:ind w:right="0" w:left="0" w:firstLine="28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вибір належних принципів бухгалтерського обліку та їх послідовне застосування;</w:t>
      </w:r>
    </w:p>
    <w:p>
      <w:pPr>
        <w:numPr>
          <w:ilvl w:val="0"/>
          <w:numId w:val="86"/>
        </w:numPr>
        <w:tabs>
          <w:tab w:val="left" w:pos="567" w:leader="none"/>
        </w:tabs>
        <w:spacing w:before="0" w:after="0" w:line="276"/>
        <w:ind w:right="0" w:left="0" w:firstLine="28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застосування об</w:t>
      </w:r>
      <w:r>
        <w:rPr>
          <w:rFonts w:ascii="Times New Roman" w:hAnsi="Times New Roman" w:cs="Times New Roman" w:eastAsia="Times New Roman"/>
          <w:color w:val="000000"/>
          <w:spacing w:val="0"/>
          <w:position w:val="0"/>
          <w:sz w:val="24"/>
          <w:u w:val="single"/>
          <w:shd w:fill="auto" w:val="clear"/>
        </w:rPr>
        <w:t xml:space="preserve">ґрунтованих оцінок і допущень;</w:t>
      </w:r>
    </w:p>
    <w:p>
      <w:pPr>
        <w:numPr>
          <w:ilvl w:val="0"/>
          <w:numId w:val="86"/>
        </w:numPr>
        <w:tabs>
          <w:tab w:val="left" w:pos="567" w:leader="none"/>
        </w:tabs>
        <w:spacing w:before="0" w:after="0" w:line="276"/>
        <w:ind w:right="0" w:left="0" w:firstLine="28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дотримання вимог МСФЗ і розкриття всіх суттєвих відхилень в Примітках до фінансової звітності;</w:t>
      </w:r>
    </w:p>
    <w:p>
      <w:pPr>
        <w:numPr>
          <w:ilvl w:val="0"/>
          <w:numId w:val="86"/>
        </w:numPr>
        <w:tabs>
          <w:tab w:val="left" w:pos="567" w:leader="none"/>
        </w:tabs>
        <w:spacing w:before="0" w:after="0" w:line="276"/>
        <w:ind w:right="0" w:left="0" w:firstLine="28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підготовку фінансової звітності, виходячи з припущення, що Товариство продовжуватиме свою діяльність в майбутньому, за винятком випадків, коли таке припущення неправомірне.</w:t>
      </w:r>
    </w:p>
    <w:p>
      <w:pPr>
        <w:tabs>
          <w:tab w:val="left" w:pos="567" w:leader="none"/>
        </w:tabs>
        <w:spacing w:before="0" w:after="16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Керівництво Товариства також несе відповідальність за:</w:t>
      </w:r>
    </w:p>
    <w:p>
      <w:pPr>
        <w:numPr>
          <w:ilvl w:val="0"/>
          <w:numId w:val="88"/>
        </w:numPr>
        <w:tabs>
          <w:tab w:val="left" w:pos="567" w:leader="none"/>
        </w:tabs>
        <w:spacing w:before="0" w:after="0" w:line="276"/>
        <w:ind w:right="0" w:left="0" w:firstLine="28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розробку, впровадження і забезпечення функціонування ефективної і надійної системи внутрішнього контролю у Товаристві;</w:t>
      </w:r>
    </w:p>
    <w:p>
      <w:pPr>
        <w:numPr>
          <w:ilvl w:val="0"/>
          <w:numId w:val="88"/>
        </w:numPr>
        <w:tabs>
          <w:tab w:val="left" w:pos="567" w:leader="none"/>
        </w:tabs>
        <w:spacing w:before="0" w:after="0" w:line="276"/>
        <w:ind w:right="0" w:left="0" w:firstLine="28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підтримку системи бухгалтерського обліку, що дозволяє у будь-який момент підготувати з достатнім ступенем точності інформацію про фінансовий стан Товариства і забезпечити відповідність фінансової звітності вимогам МСФЗ;</w:t>
      </w:r>
    </w:p>
    <w:p>
      <w:pPr>
        <w:numPr>
          <w:ilvl w:val="0"/>
          <w:numId w:val="88"/>
        </w:numPr>
        <w:tabs>
          <w:tab w:val="left" w:pos="567" w:leader="none"/>
        </w:tabs>
        <w:spacing w:before="0" w:after="0" w:line="276"/>
        <w:ind w:right="0" w:left="0" w:firstLine="28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вживання заходів, в межах своєї компетенції, для збереження активів Товариства;</w:t>
      </w:r>
    </w:p>
    <w:p>
      <w:pPr>
        <w:numPr>
          <w:ilvl w:val="0"/>
          <w:numId w:val="88"/>
        </w:numPr>
        <w:tabs>
          <w:tab w:val="left" w:pos="567" w:leader="none"/>
        </w:tabs>
        <w:spacing w:before="0" w:after="0" w:line="276"/>
        <w:ind w:right="0" w:left="0" w:firstLine="28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запобігання і виявлення фактів шахрайства і інших зловживань.</w:t>
      </w:r>
    </w:p>
    <w:p>
      <w:pPr>
        <w:tabs>
          <w:tab w:val="left" w:pos="567" w:leader="none"/>
        </w:tabs>
        <w:spacing w:before="0" w:after="160" w:line="259"/>
        <w:ind w:right="0" w:left="360" w:firstLine="0"/>
        <w:jc w:val="both"/>
        <w:rPr>
          <w:rFonts w:ascii="Times New Roman" w:hAnsi="Times New Roman" w:cs="Times New Roman" w:eastAsia="Times New Roman"/>
          <w:color w:val="000000"/>
          <w:spacing w:val="0"/>
          <w:position w:val="0"/>
          <w:sz w:val="24"/>
          <w:u w:val="single"/>
          <w:shd w:fill="auto" w:val="clear"/>
        </w:rPr>
      </w:pPr>
    </w:p>
    <w:p>
      <w:pPr>
        <w:tabs>
          <w:tab w:val="left" w:pos="567" w:leader="none"/>
        </w:tabs>
        <w:spacing w:before="0" w:after="160" w:line="259"/>
        <w:ind w:right="0" w:left="0" w:firstLine="0"/>
        <w:jc w:val="both"/>
        <w:rPr>
          <w:rFonts w:ascii="Times New Roman" w:hAnsi="Times New Roman" w:cs="Times New Roman" w:eastAsia="Times New Roman"/>
          <w:color w:val="FF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Фінансова звітність Товариства за 2020 рік була затверджена до випуску від імені Керівництва Товариства </w:t>
      </w:r>
      <w:r>
        <w:rPr>
          <w:rFonts w:ascii="Times New Roman" w:hAnsi="Times New Roman" w:cs="Times New Roman" w:eastAsia="Times New Roman"/>
          <w:color w:val="auto"/>
          <w:spacing w:val="0"/>
          <w:position w:val="0"/>
          <w:sz w:val="24"/>
          <w:u w:val="single"/>
          <w:shd w:fill="auto" w:val="clear"/>
        </w:rPr>
        <w:t xml:space="preserve">02 квітня 2021 року.</w:t>
      </w:r>
    </w:p>
    <w:p>
      <w:pPr>
        <w:tabs>
          <w:tab w:val="left" w:pos="567" w:leader="none"/>
        </w:tabs>
        <w:spacing w:before="0" w:after="160" w:line="259"/>
        <w:ind w:right="0" w:left="0" w:firstLine="0"/>
        <w:jc w:val="both"/>
        <w:rPr>
          <w:rFonts w:ascii="Times New Roman" w:hAnsi="Times New Roman" w:cs="Times New Roman" w:eastAsia="Times New Roman"/>
          <w:color w:val="000000"/>
          <w:spacing w:val="0"/>
          <w:position w:val="0"/>
          <w:sz w:val="24"/>
          <w:u w:val="single"/>
          <w:shd w:fill="auto" w:val="clear"/>
        </w:rPr>
      </w:pPr>
    </w:p>
    <w:p>
      <w:pPr>
        <w:tabs>
          <w:tab w:val="left" w:pos="567" w:leader="none"/>
        </w:tabs>
        <w:spacing w:before="0" w:after="160" w:line="259"/>
        <w:ind w:right="0" w:left="0" w:firstLine="0"/>
        <w:jc w:val="both"/>
        <w:rPr>
          <w:rFonts w:ascii="Times New Roman" w:hAnsi="Times New Roman" w:cs="Times New Roman" w:eastAsia="Times New Roman"/>
          <w:color w:val="000000"/>
          <w:spacing w:val="0"/>
          <w:position w:val="0"/>
          <w:sz w:val="24"/>
          <w:u w:val="single"/>
          <w:shd w:fill="auto" w:val="clear"/>
        </w:rPr>
      </w:pPr>
    </w:p>
    <w:p>
      <w:pPr>
        <w:tabs>
          <w:tab w:val="left" w:pos="567" w:leader="none"/>
        </w:tabs>
        <w:spacing w:before="0" w:after="160" w:line="259"/>
        <w:ind w:right="0" w:left="0" w:firstLine="0"/>
        <w:jc w:val="both"/>
        <w:rPr>
          <w:rFonts w:ascii="Times New Roman" w:hAnsi="Times New Roman" w:cs="Times New Roman" w:eastAsia="Times New Roman"/>
          <w:color w:val="000000"/>
          <w:spacing w:val="0"/>
          <w:position w:val="0"/>
          <w:sz w:val="24"/>
          <w:u w:val="single"/>
          <w:shd w:fill="auto" w:val="clear"/>
        </w:rPr>
      </w:pPr>
    </w:p>
    <w:p>
      <w:pPr>
        <w:tabs>
          <w:tab w:val="left" w:pos="567" w:leader="none"/>
        </w:tabs>
        <w:spacing w:before="0" w:after="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Голова Правління</w:t>
      </w:r>
    </w:p>
    <w:p>
      <w:pPr>
        <w:tabs>
          <w:tab w:val="left" w:pos="567" w:leader="none"/>
        </w:tabs>
        <w:spacing w:before="0" w:after="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ПрАТ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Ватутінський комбінат вогнетривів</w:t>
      </w:r>
      <w:r>
        <w:rPr>
          <w:rFonts w:ascii="Times New Roman" w:hAnsi="Times New Roman" w:cs="Times New Roman" w:eastAsia="Times New Roman"/>
          <w:color w:val="000000"/>
          <w:spacing w:val="0"/>
          <w:position w:val="0"/>
          <w:sz w:val="24"/>
          <w:u w:val="single"/>
          <w:shd w:fill="auto" w:val="clear"/>
        </w:rPr>
        <w:t xml:space="preserve">» </w:t>
        <w:tab/>
        <w:tab/>
        <w:tab/>
        <w:tab/>
      </w:r>
      <w:r>
        <w:rPr>
          <w:rFonts w:ascii="Times New Roman" w:hAnsi="Times New Roman" w:cs="Times New Roman" w:eastAsia="Times New Roman"/>
          <w:color w:val="000000"/>
          <w:spacing w:val="0"/>
          <w:position w:val="0"/>
          <w:sz w:val="24"/>
          <w:u w:val="single"/>
          <w:shd w:fill="auto" w:val="clear"/>
        </w:rPr>
        <w:t xml:space="preserve">Літвін Д.В.</w:t>
      </w:r>
    </w:p>
    <w:p>
      <w:pPr>
        <w:tabs>
          <w:tab w:val="left" w:pos="567" w:leader="none"/>
        </w:tabs>
        <w:spacing w:before="0" w:after="160" w:line="259"/>
        <w:ind w:right="0" w:left="0" w:firstLine="0"/>
        <w:jc w:val="both"/>
        <w:rPr>
          <w:rFonts w:ascii="Times New Roman" w:hAnsi="Times New Roman" w:cs="Times New Roman" w:eastAsia="Times New Roman"/>
          <w:color w:val="000000"/>
          <w:spacing w:val="0"/>
          <w:position w:val="0"/>
          <w:sz w:val="24"/>
          <w:u w:val="single"/>
          <w:shd w:fill="auto" w:val="clear"/>
        </w:rPr>
      </w:pPr>
    </w:p>
    <w:p>
      <w:pPr>
        <w:tabs>
          <w:tab w:val="left" w:pos="567" w:leader="none"/>
        </w:tabs>
        <w:spacing w:before="0" w:after="16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Головний бухгалтер</w:t>
        <w:tab/>
        <w:tab/>
        <w:tab/>
        <w:tab/>
        <w:tab/>
        <w:tab/>
        <w:tab/>
        <w:t xml:space="preserve">Майборода Л.І.</w:t>
      </w:r>
    </w:p>
    <w:p>
      <w:pPr>
        <w:tabs>
          <w:tab w:val="left" w:pos="567" w:leader="none"/>
        </w:tabs>
        <w:spacing w:before="0" w:after="160" w:line="259"/>
        <w:ind w:right="0" w:left="0" w:firstLine="0"/>
        <w:jc w:val="both"/>
        <w:rPr>
          <w:rFonts w:ascii="Times New Roman" w:hAnsi="Times New Roman" w:cs="Times New Roman" w:eastAsia="Times New Roman"/>
          <w:color w:val="000000"/>
          <w:spacing w:val="0"/>
          <w:position w:val="0"/>
          <w:sz w:val="24"/>
          <w:u w:val="single"/>
          <w:shd w:fill="auto" w:val="clear"/>
        </w:rPr>
      </w:pPr>
    </w:p>
    <w:p>
      <w:pPr>
        <w:tabs>
          <w:tab w:val="left" w:pos="567" w:leader="none"/>
        </w:tabs>
        <w:spacing w:before="0" w:after="160" w:line="259"/>
        <w:ind w:right="0" w:left="0" w:firstLine="0"/>
        <w:jc w:val="both"/>
        <w:rPr>
          <w:rFonts w:ascii="Times New Roman" w:hAnsi="Times New Roman" w:cs="Times New Roman" w:eastAsia="Times New Roman"/>
          <w:color w:val="000000"/>
          <w:spacing w:val="0"/>
          <w:position w:val="0"/>
          <w:sz w:val="24"/>
          <w:u w:val="single"/>
          <w:shd w:fill="auto" w:val="clear"/>
        </w:rPr>
      </w:pPr>
    </w:p>
    <w:p>
      <w:pPr>
        <w:tabs>
          <w:tab w:val="left" w:pos="567" w:leader="none"/>
        </w:tabs>
        <w:spacing w:before="0" w:after="160" w:line="259"/>
        <w:ind w:right="0" w:left="0" w:firstLine="0"/>
        <w:jc w:val="both"/>
        <w:rPr>
          <w:rFonts w:ascii="Times New Roman" w:hAnsi="Times New Roman" w:cs="Times New Roman" w:eastAsia="Times New Roman"/>
          <w:color w:val="000000"/>
          <w:spacing w:val="0"/>
          <w:position w:val="0"/>
          <w:sz w:val="24"/>
          <w:u w:val="single"/>
          <w:shd w:fill="auto" w:val="clear"/>
        </w:rPr>
      </w:pPr>
    </w:p>
    <w:p>
      <w:pPr>
        <w:numPr>
          <w:ilvl w:val="0"/>
          <w:numId w:val="93"/>
        </w:numPr>
        <w:spacing w:before="0" w:after="0" w:line="240"/>
        <w:ind w:right="0" w:left="1871" w:hanging="430"/>
        <w:jc w:val="righ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numPr>
          <w:ilvl w:val="0"/>
          <w:numId w:val="93"/>
        </w:numPr>
        <w:spacing w:before="0" w:after="0" w:line="240"/>
        <w:ind w:right="0" w:left="1871" w:hanging="430"/>
        <w:jc w:val="right"/>
        <w:rPr>
          <w:rFonts w:ascii="Times New Roman" w:hAnsi="Times New Roman" w:cs="Times New Roman" w:eastAsia="Times New Roman"/>
          <w:color w:val="000000"/>
          <w:spacing w:val="0"/>
          <w:position w:val="0"/>
          <w:sz w:val="18"/>
          <w:u w:val="single"/>
          <w:shd w:fill="auto" w:val="clear"/>
        </w:rPr>
      </w:pPr>
    </w:p>
    <w:tbl>
      <w:tblPr/>
      <w:tblGrid>
        <w:gridCol w:w="1127"/>
        <w:gridCol w:w="331"/>
        <w:gridCol w:w="217"/>
        <w:gridCol w:w="621"/>
        <w:gridCol w:w="901"/>
        <w:gridCol w:w="332"/>
        <w:gridCol w:w="1573"/>
        <w:gridCol w:w="2763"/>
        <w:gridCol w:w="358"/>
        <w:gridCol w:w="378"/>
        <w:gridCol w:w="653"/>
        <w:gridCol w:w="402"/>
        <w:gridCol w:w="463"/>
        <w:gridCol w:w="974"/>
        <w:gridCol w:w="497"/>
      </w:tblGrid>
      <w:tr>
        <w:trPr>
          <w:trHeight w:val="1" w:hRule="atLeast"/>
          <w:jc w:val="left"/>
        </w:trPr>
        <w:tc>
          <w:tcPr>
            <w:tcW w:w="9656" w:type="dxa"/>
            <w:gridSpan w:val="12"/>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18"/>
                <w:u w:val="single"/>
                <w:shd w:fill="auto" w:val="clear"/>
              </w:rPr>
              <w:t xml:space="preserve"> </w:t>
            </w:r>
          </w:p>
        </w:tc>
        <w:tc>
          <w:tcPr>
            <w:tcW w:w="1934"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18"/>
                <w:u w:val="single"/>
                <w:shd w:fill="auto" w:val="clear"/>
              </w:rPr>
              <w:t xml:space="preserve">КОДИ</w:t>
            </w:r>
          </w:p>
        </w:tc>
      </w:tr>
      <w:tr>
        <w:trPr>
          <w:trHeight w:val="1" w:hRule="atLeast"/>
          <w:jc w:val="left"/>
        </w:trPr>
        <w:tc>
          <w:tcPr>
            <w:tcW w:w="9656" w:type="dxa"/>
            <w:gridSpan w:val="12"/>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567"/>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Дата (рік, місяць, число)</w:t>
            </w:r>
          </w:p>
        </w:tc>
        <w:tc>
          <w:tcPr>
            <w:tcW w:w="4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2021 </w:t>
            </w:r>
          </w:p>
        </w:tc>
        <w:tc>
          <w:tcPr>
            <w:tcW w:w="97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01</w:t>
            </w:r>
          </w:p>
        </w:tc>
        <w:tc>
          <w:tcPr>
            <w:tcW w:w="49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01</w:t>
            </w:r>
          </w:p>
        </w:tc>
      </w:tr>
      <w:tr>
        <w:trPr>
          <w:trHeight w:val="1" w:hRule="atLeast"/>
          <w:jc w:val="left"/>
        </w:trPr>
        <w:tc>
          <w:tcPr>
            <w:tcW w:w="1458" w:type="dxa"/>
            <w:gridSpan w:val="2"/>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Підприємство </w:t>
            </w:r>
          </w:p>
        </w:tc>
        <w:tc>
          <w:tcPr>
            <w:tcW w:w="6407" w:type="dxa"/>
            <w:gridSpan w:val="6"/>
            <w:tcBorders>
              <w:top w:val="single" w:color="000000" w:sz="0"/>
              <w:left w:val="single" w:color="000000" w:sz="0"/>
              <w:bottom w:val="single" w:color="000000" w:sz="4"/>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w:t>
            </w:r>
            <w:r>
              <w:rPr>
                <w:rFonts w:ascii="Times New Roman" w:hAnsi="Times New Roman" w:cs="Times New Roman" w:eastAsia="Times New Roman"/>
                <w:color w:val="000000"/>
                <w:spacing w:val="0"/>
                <w:position w:val="0"/>
                <w:sz w:val="22"/>
                <w:u w:val="single"/>
                <w:shd w:fill="auto" w:val="clear"/>
              </w:rPr>
              <w:t xml:space="preserve">Приватне акціонерне товариство </w:t>
            </w:r>
            <w:r>
              <w:rPr>
                <w:rFonts w:ascii="Times New Roman" w:hAnsi="Times New Roman" w:cs="Times New Roman" w:eastAsia="Times New Roman"/>
                <w:color w:val="000000"/>
                <w:spacing w:val="0"/>
                <w:position w:val="0"/>
                <w:sz w:val="22"/>
                <w:u w:val="single"/>
                <w:shd w:fill="auto" w:val="clear"/>
              </w:rPr>
              <w:t xml:space="preserve">«</w:t>
            </w:r>
            <w:r>
              <w:rPr>
                <w:rFonts w:ascii="Times New Roman" w:hAnsi="Times New Roman" w:cs="Times New Roman" w:eastAsia="Times New Roman"/>
                <w:color w:val="000000"/>
                <w:spacing w:val="0"/>
                <w:position w:val="0"/>
                <w:sz w:val="22"/>
                <w:u w:val="single"/>
                <w:shd w:fill="auto" w:val="clear"/>
              </w:rPr>
              <w:t xml:space="preserve">Ватутінський комбінат вогнетривів</w:t>
            </w:r>
            <w:r>
              <w:rPr>
                <w:rFonts w:ascii="Times New Roman" w:hAnsi="Times New Roman" w:cs="Times New Roman" w:eastAsia="Times New Roman"/>
                <w:color w:val="000000"/>
                <w:spacing w:val="0"/>
                <w:position w:val="0"/>
                <w:sz w:val="22"/>
                <w:u w:val="single"/>
                <w:shd w:fill="auto" w:val="clear"/>
              </w:rPr>
              <w:t xml:space="preserve">»</w:t>
            </w:r>
          </w:p>
        </w:tc>
        <w:tc>
          <w:tcPr>
            <w:tcW w:w="1791" w:type="dxa"/>
            <w:gridSpan w:val="4"/>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ЄДРПОУ</w:t>
            </w:r>
          </w:p>
        </w:tc>
        <w:tc>
          <w:tcPr>
            <w:tcW w:w="1934" w:type="dxa"/>
            <w:gridSpan w:val="3"/>
            <w:vMerge w:val="restart"/>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00191916 </w:t>
            </w:r>
          </w:p>
        </w:tc>
      </w:tr>
      <w:tr>
        <w:trPr>
          <w:trHeight w:val="1" w:hRule="atLeast"/>
          <w:jc w:val="left"/>
        </w:trPr>
        <w:tc>
          <w:tcPr>
            <w:tcW w:w="1458" w:type="dxa"/>
            <w:gridSpan w:val="2"/>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6407" w:type="dxa"/>
            <w:gridSpan w:val="6"/>
            <w:tcBorders>
              <w:top w:val="single" w:color="000000" w:sz="4"/>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791" w:type="dxa"/>
            <w:gridSpan w:val="4"/>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934" w:type="dxa"/>
            <w:gridSpan w:val="3"/>
            <w:vMerge/>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59"/>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127"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Територія </w:t>
            </w:r>
          </w:p>
        </w:tc>
        <w:tc>
          <w:tcPr>
            <w:tcW w:w="6738" w:type="dxa"/>
            <w:gridSpan w:val="7"/>
            <w:tcBorders>
              <w:top w:val="single" w:color="000000" w:sz="0"/>
              <w:left w:val="single" w:color="000000" w:sz="0"/>
              <w:bottom w:val="single" w:color="000000" w:sz="4"/>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w:t>
            </w:r>
            <w:r>
              <w:rPr>
                <w:rFonts w:ascii="Times New Roman" w:hAnsi="Times New Roman" w:cs="Times New Roman" w:eastAsia="Times New Roman"/>
                <w:color w:val="000000"/>
                <w:spacing w:val="0"/>
                <w:position w:val="0"/>
                <w:sz w:val="22"/>
                <w:u w:val="single"/>
                <w:shd w:fill="auto" w:val="clear"/>
              </w:rPr>
              <w:t xml:space="preserve">м. Ватутіне Черкаської обл., Україна</w:t>
            </w:r>
          </w:p>
        </w:tc>
        <w:tc>
          <w:tcPr>
            <w:tcW w:w="1791" w:type="dxa"/>
            <w:gridSpan w:val="4"/>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КОАТУУ</w:t>
            </w:r>
          </w:p>
        </w:tc>
        <w:tc>
          <w:tcPr>
            <w:tcW w:w="1934" w:type="dxa"/>
            <w:gridSpan w:val="3"/>
            <w:vMerge w:val="restart"/>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7110200000</w:t>
            </w:r>
          </w:p>
        </w:tc>
      </w:tr>
      <w:tr>
        <w:trPr>
          <w:trHeight w:val="1" w:hRule="atLeast"/>
          <w:jc w:val="left"/>
        </w:trPr>
        <w:tc>
          <w:tcPr>
            <w:tcW w:w="1127"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6738" w:type="dxa"/>
            <w:gridSpan w:val="7"/>
            <w:tcBorders>
              <w:top w:val="single" w:color="000000" w:sz="4"/>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791" w:type="dxa"/>
            <w:gridSpan w:val="4"/>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934" w:type="dxa"/>
            <w:gridSpan w:val="3"/>
            <w:vMerge/>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59"/>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5102" w:type="dxa"/>
            <w:gridSpan w:val="7"/>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Організаційно-правова форма господарювання</w:t>
            </w:r>
          </w:p>
        </w:tc>
        <w:tc>
          <w:tcPr>
            <w:tcW w:w="2763" w:type="dxa"/>
            <w:tcBorders>
              <w:top w:val="single" w:color="000000" w:sz="0"/>
              <w:left w:val="single" w:color="000000" w:sz="0"/>
              <w:bottom w:val="single" w:color="000000" w:sz="4"/>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w:t>
            </w:r>
            <w:r>
              <w:rPr>
                <w:rFonts w:ascii="Times New Roman" w:hAnsi="Times New Roman" w:cs="Times New Roman" w:eastAsia="Times New Roman"/>
                <w:color w:val="000000"/>
                <w:spacing w:val="0"/>
                <w:position w:val="0"/>
                <w:sz w:val="22"/>
                <w:u w:val="single"/>
                <w:shd w:fill="auto" w:val="clear"/>
              </w:rPr>
              <w:t xml:space="preserve">Акціонерне товариство</w:t>
            </w:r>
          </w:p>
        </w:tc>
        <w:tc>
          <w:tcPr>
            <w:tcW w:w="1791" w:type="dxa"/>
            <w:gridSpan w:val="4"/>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КОПФГ</w:t>
            </w:r>
          </w:p>
        </w:tc>
        <w:tc>
          <w:tcPr>
            <w:tcW w:w="1934" w:type="dxa"/>
            <w:gridSpan w:val="3"/>
            <w:vMerge w:val="restart"/>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230 </w:t>
            </w:r>
          </w:p>
        </w:tc>
      </w:tr>
      <w:tr>
        <w:trPr>
          <w:trHeight w:val="1" w:hRule="atLeast"/>
          <w:jc w:val="left"/>
        </w:trPr>
        <w:tc>
          <w:tcPr>
            <w:tcW w:w="5102" w:type="dxa"/>
            <w:gridSpan w:val="7"/>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2763" w:type="dxa"/>
            <w:tcBorders>
              <w:top w:val="single" w:color="000000" w:sz="4"/>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791" w:type="dxa"/>
            <w:gridSpan w:val="4"/>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934" w:type="dxa"/>
            <w:gridSpan w:val="3"/>
            <w:vMerge/>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59"/>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197" w:type="dxa"/>
            <w:gridSpan w:val="5"/>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Вид економічної діяльності</w:t>
            </w:r>
          </w:p>
        </w:tc>
        <w:tc>
          <w:tcPr>
            <w:tcW w:w="4668" w:type="dxa"/>
            <w:gridSpan w:val="3"/>
            <w:tcBorders>
              <w:top w:val="single" w:color="000000" w:sz="0"/>
              <w:left w:val="single" w:color="000000" w:sz="0"/>
              <w:bottom w:val="single" w:color="000000" w:sz="4"/>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w:t>
            </w:r>
            <w:r>
              <w:rPr>
                <w:rFonts w:ascii="Times New Roman" w:hAnsi="Times New Roman" w:cs="Times New Roman" w:eastAsia="Times New Roman"/>
                <w:color w:val="000000"/>
                <w:spacing w:val="0"/>
                <w:position w:val="0"/>
                <w:sz w:val="22"/>
                <w:u w:val="single"/>
                <w:shd w:fill="auto" w:val="clear"/>
              </w:rPr>
              <w:t xml:space="preserve">Виготовлення вогнетривких виробів</w:t>
            </w:r>
          </w:p>
        </w:tc>
        <w:tc>
          <w:tcPr>
            <w:tcW w:w="1791" w:type="dxa"/>
            <w:gridSpan w:val="4"/>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КВЕД</w:t>
            </w:r>
          </w:p>
        </w:tc>
        <w:tc>
          <w:tcPr>
            <w:tcW w:w="1934" w:type="dxa"/>
            <w:gridSpan w:val="3"/>
            <w:vMerge w:val="restart"/>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23.20 </w:t>
            </w:r>
          </w:p>
        </w:tc>
      </w:tr>
      <w:tr>
        <w:trPr>
          <w:trHeight w:val="1" w:hRule="atLeast"/>
          <w:jc w:val="left"/>
        </w:trPr>
        <w:tc>
          <w:tcPr>
            <w:tcW w:w="3197" w:type="dxa"/>
            <w:gridSpan w:val="5"/>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4668" w:type="dxa"/>
            <w:gridSpan w:val="3"/>
            <w:tcBorders>
              <w:top w:val="single" w:color="000000" w:sz="4"/>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791" w:type="dxa"/>
            <w:gridSpan w:val="4"/>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934" w:type="dxa"/>
            <w:gridSpan w:val="3"/>
            <w:vMerge/>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59"/>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529" w:type="dxa"/>
            <w:gridSpan w:val="6"/>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Середня кількість працівників</w:t>
            </w:r>
            <w:r>
              <w:rPr>
                <w:rFonts w:ascii="Times New Roman" w:hAnsi="Times New Roman" w:cs="Times New Roman" w:eastAsia="Times New Roman"/>
                <w:color w:val="000000"/>
                <w:spacing w:val="0"/>
                <w:position w:val="0"/>
                <w:sz w:val="22"/>
                <w:u w:val="single"/>
                <w:shd w:fill="auto" w:val="clear"/>
                <w:vertAlign w:val="superscript"/>
              </w:rPr>
              <w:t xml:space="preserve">1</w:t>
            </w:r>
          </w:p>
        </w:tc>
        <w:tc>
          <w:tcPr>
            <w:tcW w:w="5725" w:type="dxa"/>
            <w:gridSpan w:val="5"/>
            <w:tcBorders>
              <w:top w:val="single" w:color="000000" w:sz="0"/>
              <w:left w:val="single" w:color="000000" w:sz="0"/>
              <w:bottom w:val="single" w:color="000000" w:sz="4"/>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236</w:t>
            </w:r>
          </w:p>
        </w:tc>
        <w:tc>
          <w:tcPr>
            <w:tcW w:w="2336" w:type="dxa"/>
            <w:gridSpan w:val="4"/>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529" w:type="dxa"/>
            <w:gridSpan w:val="6"/>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5725" w:type="dxa"/>
            <w:gridSpan w:val="5"/>
            <w:tcBorders>
              <w:top w:val="single" w:color="000000" w:sz="4"/>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2336" w:type="dxa"/>
            <w:gridSpan w:val="4"/>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2296" w:type="dxa"/>
            <w:gridSpan w:val="4"/>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Адреса, телефон</w:t>
            </w:r>
          </w:p>
        </w:tc>
        <w:tc>
          <w:tcPr>
            <w:tcW w:w="6958" w:type="dxa"/>
            <w:gridSpan w:val="7"/>
            <w:tcBorders>
              <w:top w:val="single" w:color="000000" w:sz="0"/>
              <w:left w:val="single" w:color="000000" w:sz="0"/>
              <w:bottom w:val="single" w:color="000000" w:sz="4"/>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w:t>
            </w:r>
            <w:r>
              <w:rPr>
                <w:rFonts w:ascii="Times New Roman" w:hAnsi="Times New Roman" w:cs="Times New Roman" w:eastAsia="Times New Roman"/>
                <w:color w:val="000000"/>
                <w:spacing w:val="0"/>
                <w:position w:val="0"/>
                <w:sz w:val="22"/>
                <w:u w:val="single"/>
                <w:shd w:fill="auto" w:val="clear"/>
              </w:rPr>
              <w:t xml:space="preserve">вул. Індустріальна, 11, м. Ватутіне Черкаської обл., Україна, 20254</w:t>
            </w:r>
          </w:p>
        </w:tc>
        <w:tc>
          <w:tcPr>
            <w:tcW w:w="2336" w:type="dxa"/>
            <w:gridSpan w:val="4"/>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675" w:type="dxa"/>
            <w:gridSpan w:val="3"/>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6548" w:type="dxa"/>
            <w:gridSpan w:val="6"/>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3367" w:type="dxa"/>
            <w:gridSpan w:val="6"/>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66" w:hRule="auto"/>
          <w:jc w:val="left"/>
        </w:trPr>
        <w:tc>
          <w:tcPr>
            <w:tcW w:w="11590" w:type="dxa"/>
            <w:gridSpan w:val="15"/>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Одиниця виміру: тис. грн. </w:t>
            </w:r>
          </w:p>
        </w:tc>
      </w:tr>
      <w:tr>
        <w:trPr>
          <w:trHeight w:val="1" w:hRule="atLeast"/>
          <w:jc w:val="left"/>
        </w:trPr>
        <w:tc>
          <w:tcPr>
            <w:tcW w:w="11590" w:type="dxa"/>
            <w:gridSpan w:val="15"/>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Складено (зробити позначку "v" у відповідній клітинці):</w:t>
            </w:r>
          </w:p>
        </w:tc>
      </w:tr>
      <w:tr>
        <w:trPr>
          <w:trHeight w:val="1" w:hRule="atLeast"/>
          <w:jc w:val="left"/>
        </w:trPr>
        <w:tc>
          <w:tcPr>
            <w:tcW w:w="8601" w:type="dxa"/>
            <w:gridSpan w:val="10"/>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положеннями (стандартами) бухгалтерського обліку</w:t>
            </w:r>
          </w:p>
        </w:tc>
        <w:tc>
          <w:tcPr>
            <w:tcW w:w="2989" w:type="dxa"/>
            <w:gridSpan w:val="5"/>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w:t>
            </w:r>
          </w:p>
        </w:tc>
      </w:tr>
      <w:tr>
        <w:trPr>
          <w:trHeight w:val="1" w:hRule="atLeast"/>
          <w:jc w:val="left"/>
        </w:trPr>
        <w:tc>
          <w:tcPr>
            <w:tcW w:w="8601" w:type="dxa"/>
            <w:gridSpan w:val="10"/>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міжнародними стандартами фінансової звітності</w:t>
            </w:r>
          </w:p>
        </w:tc>
        <w:tc>
          <w:tcPr>
            <w:tcW w:w="2989" w:type="dxa"/>
            <w:gridSpan w:val="5"/>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х </w:t>
            </w:r>
          </w:p>
        </w:tc>
      </w:tr>
    </w:tbl>
    <w:p>
      <w:pPr>
        <w:spacing w:before="0" w:after="0" w:line="240"/>
        <w:ind w:right="0" w:left="1872" w:firstLine="0"/>
        <w:jc w:val="both"/>
        <w:rPr>
          <w:rFonts w:ascii="Times New Roman" w:hAnsi="Times New Roman" w:cs="Times New Roman" w:eastAsia="Times New Roman"/>
          <w:color w:val="000000"/>
          <w:spacing w:val="0"/>
          <w:position w:val="0"/>
          <w:sz w:val="22"/>
          <w:u w:val="single"/>
          <w:shd w:fill="auto" w:val="clear"/>
        </w:rPr>
      </w:pPr>
    </w:p>
    <w:p>
      <w:pPr>
        <w:keepNext w:val="true"/>
        <w:numPr>
          <w:ilvl w:val="0"/>
          <w:numId w:val="159"/>
        </w:numPr>
        <w:spacing w:before="0" w:after="0" w:line="240"/>
        <w:ind w:right="0" w:left="431" w:hanging="431"/>
        <w:jc w:val="center"/>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БАЛАНС (ЗВІТ ПРО ФІНАНСОВИЙ СТАН)</w:t>
      </w:r>
    </w:p>
    <w:p>
      <w:pPr>
        <w:keepNext w:val="true"/>
        <w:numPr>
          <w:ilvl w:val="0"/>
          <w:numId w:val="159"/>
        </w:numPr>
        <w:spacing w:before="0" w:after="0" w:line="240"/>
        <w:ind w:right="0" w:left="431" w:hanging="431"/>
        <w:jc w:val="center"/>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НА 31 ГРУДНЯ  2020 РОКУ</w:t>
      </w:r>
    </w:p>
    <w:tbl>
      <w:tblPr/>
      <w:tblGrid>
        <w:gridCol w:w="6406"/>
        <w:gridCol w:w="1820"/>
        <w:gridCol w:w="1134"/>
      </w:tblGrid>
      <w:tr>
        <w:trPr>
          <w:trHeight w:val="1" w:hRule="atLeast"/>
          <w:jc w:val="left"/>
        </w:trPr>
        <w:tc>
          <w:tcPr>
            <w:tcW w:w="6406"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567"/>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Форма N 1</w:t>
            </w:r>
          </w:p>
        </w:tc>
        <w:tc>
          <w:tcPr>
            <w:tcW w:w="1820" w:type="dxa"/>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Код за ДКУД</w:t>
            </w:r>
          </w:p>
        </w:tc>
        <w:tc>
          <w:tcPr>
            <w:tcW w:w="113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1801001</w:t>
            </w:r>
          </w:p>
        </w:tc>
      </w:tr>
    </w:tbl>
    <w:p>
      <w:pPr>
        <w:numPr>
          <w:ilvl w:val="0"/>
          <w:numId w:val="164"/>
        </w:numPr>
        <w:spacing w:before="0" w:after="0" w:line="240"/>
        <w:ind w:right="0" w:left="1872" w:hanging="431"/>
        <w:jc w:val="both"/>
        <w:rPr>
          <w:rFonts w:ascii="Times New Roman" w:hAnsi="Times New Roman" w:cs="Times New Roman" w:eastAsia="Times New Roman"/>
          <w:color w:val="000000"/>
          <w:spacing w:val="0"/>
          <w:position w:val="0"/>
          <w:sz w:val="6"/>
          <w:u w:val="single"/>
          <w:shd w:fill="auto" w:val="clear"/>
        </w:rPr>
      </w:pPr>
    </w:p>
    <w:tbl>
      <w:tblPr/>
      <w:tblGrid>
        <w:gridCol w:w="5563"/>
        <w:gridCol w:w="614"/>
        <w:gridCol w:w="1064"/>
        <w:gridCol w:w="1064"/>
        <w:gridCol w:w="1060"/>
      </w:tblGrid>
      <w:tr>
        <w:trPr>
          <w:trHeight w:val="1" w:hRule="atLeast"/>
          <w:jc w:val="left"/>
        </w:trPr>
        <w:tc>
          <w:tcPr>
            <w:tcW w:w="5563" w:type="dxa"/>
            <w:tcBorders>
              <w:top w:val="single" w:color="000000" w:sz="4"/>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Актив</w:t>
            </w:r>
          </w:p>
        </w:tc>
        <w:tc>
          <w:tcPr>
            <w:tcW w:w="614" w:type="dxa"/>
            <w:tcBorders>
              <w:top w:val="single" w:color="000000" w:sz="4"/>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Код рядка</w:t>
            </w:r>
          </w:p>
        </w:tc>
        <w:tc>
          <w:tcPr>
            <w:tcW w:w="1064" w:type="dxa"/>
            <w:tcBorders>
              <w:top w:val="single" w:color="000000" w:sz="4"/>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На кінець звітного періоду 2018 року</w:t>
            </w:r>
          </w:p>
        </w:tc>
        <w:tc>
          <w:tcPr>
            <w:tcW w:w="1064" w:type="dxa"/>
            <w:tcBorders>
              <w:top w:val="single" w:color="000000" w:sz="4"/>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На кінець звітного періоду 2019 року</w:t>
            </w:r>
          </w:p>
        </w:tc>
        <w:tc>
          <w:tcPr>
            <w:tcW w:w="1060" w:type="dxa"/>
            <w:tcBorders>
              <w:top w:val="single" w:color="000000" w:sz="4"/>
              <w:left w:val="single" w:color="000000" w:sz="4"/>
              <w:bottom w:val="single" w:color="000000" w:sz="6"/>
              <w:right w:val="single" w:color="000000" w:sz="4"/>
            </w:tcBorders>
            <w:shd w:color="000000" w:fill="d9d9d9"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На кінець звітного періоду 2020 року</w:t>
            </w:r>
          </w:p>
        </w:tc>
      </w:tr>
      <w:tr>
        <w:trPr>
          <w:trHeight w:val="1" w:hRule="atLeast"/>
          <w:jc w:val="left"/>
        </w:trPr>
        <w:tc>
          <w:tcPr>
            <w:tcW w:w="5563"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 </w:t>
            </w:r>
          </w:p>
        </w:tc>
        <w:tc>
          <w:tcPr>
            <w:tcW w:w="614"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w:t>
            </w:r>
          </w:p>
        </w:tc>
        <w:tc>
          <w:tcPr>
            <w:tcW w:w="1064"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4</w:t>
            </w:r>
          </w:p>
        </w:tc>
        <w:tc>
          <w:tcPr>
            <w:tcW w:w="1064"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5</w:t>
            </w:r>
          </w:p>
        </w:tc>
        <w:tc>
          <w:tcPr>
            <w:tcW w:w="1060" w:type="dxa"/>
            <w:tcBorders>
              <w:top w:val="single" w:color="000000" w:sz="6"/>
              <w:left w:val="single" w:color="000000" w:sz="4"/>
              <w:bottom w:val="single" w:color="000000" w:sz="6"/>
              <w:right w:val="single" w:color="000000" w:sz="4"/>
            </w:tcBorders>
            <w:shd w:color="000000" w:fill="d9d9d9"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6</w:t>
            </w:r>
          </w:p>
        </w:tc>
      </w:tr>
      <w:tr>
        <w:trPr>
          <w:trHeight w:val="1" w:hRule="atLeast"/>
          <w:jc w:val="left"/>
        </w:trPr>
        <w:tc>
          <w:tcPr>
            <w:tcW w:w="5563" w:type="dxa"/>
            <w:tcBorders>
              <w:top w:val="single" w:color="000000" w:sz="6"/>
              <w:left w:val="single" w:color="000000" w:sz="4"/>
              <w:bottom w:val="single" w:color="000000" w:sz="0"/>
              <w:right w:val="single" w:color="000000" w:sz="4"/>
            </w:tcBorders>
            <w:shd w:color="000000" w:fill="ffffff" w:val="clear"/>
            <w:tcMar>
              <w:left w:w="0" w:type="dxa"/>
              <w:right w:w="0" w:type="dxa"/>
            </w:tcMar>
            <w:vAlign w:val="center"/>
          </w:tcPr>
          <w:p>
            <w:pPr>
              <w:spacing w:before="0" w:after="0" w:line="240"/>
              <w:ind w:right="0" w:left="0" w:firstLine="567"/>
              <w:jc w:val="both"/>
              <w:rPr>
                <w:spacing w:val="0"/>
                <w:position w:val="0"/>
              </w:rPr>
            </w:pPr>
            <w:r>
              <w:rPr>
                <w:rFonts w:ascii="Times New Roman" w:hAnsi="Times New Roman" w:cs="Times New Roman" w:eastAsia="Times New Roman"/>
                <w:color w:val="000000"/>
                <w:spacing w:val="0"/>
                <w:position w:val="0"/>
                <w:sz w:val="20"/>
                <w:u w:val="single"/>
                <w:shd w:fill="auto" w:val="clear"/>
              </w:rPr>
              <w:t xml:space="preserve">I. </w:t>
            </w:r>
            <w:r>
              <w:rPr>
                <w:rFonts w:ascii="Times New Roman" w:hAnsi="Times New Roman" w:cs="Times New Roman" w:eastAsia="Times New Roman"/>
                <w:color w:val="000000"/>
                <w:spacing w:val="0"/>
                <w:position w:val="0"/>
                <w:sz w:val="20"/>
                <w:u w:val="single"/>
                <w:shd w:fill="auto" w:val="clear"/>
              </w:rPr>
              <w:t xml:space="preserve">Необоротні активи</w:t>
            </w:r>
          </w:p>
        </w:tc>
        <w:tc>
          <w:tcPr>
            <w:tcW w:w="614" w:type="dxa"/>
            <w:tcBorders>
              <w:top w:val="single" w:color="000000" w:sz="6"/>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6"/>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6"/>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6"/>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0"/>
              <w:left w:val="single" w:color="000000" w:sz="4"/>
              <w:bottom w:val="single" w:color="000000" w:sz="6"/>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Нематеріальні активи</w:t>
            </w:r>
          </w:p>
        </w:tc>
        <w:tc>
          <w:tcPr>
            <w:tcW w:w="614"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1000</w:t>
            </w:r>
          </w:p>
        </w:tc>
        <w:tc>
          <w:tcPr>
            <w:tcW w:w="1064"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3 340</w:t>
            </w:r>
          </w:p>
        </w:tc>
        <w:tc>
          <w:tcPr>
            <w:tcW w:w="1064"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3 193</w:t>
            </w:r>
          </w:p>
        </w:tc>
        <w:tc>
          <w:tcPr>
            <w:tcW w:w="1060"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3 532</w:t>
            </w:r>
          </w:p>
        </w:tc>
      </w:tr>
      <w:tr>
        <w:trPr>
          <w:trHeight w:val="1" w:hRule="atLeast"/>
          <w:jc w:val="left"/>
        </w:trPr>
        <w:tc>
          <w:tcPr>
            <w:tcW w:w="5563" w:type="dxa"/>
            <w:tcBorders>
              <w:top w:val="single" w:color="000000" w:sz="6"/>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  </w:t>
            </w:r>
            <w:r>
              <w:rPr>
                <w:rFonts w:ascii="Times New Roman" w:hAnsi="Times New Roman" w:cs="Times New Roman" w:eastAsia="Times New Roman"/>
                <w:color w:val="000000"/>
                <w:spacing w:val="0"/>
                <w:position w:val="0"/>
                <w:sz w:val="20"/>
                <w:u w:val="single"/>
                <w:shd w:fill="auto" w:val="clear"/>
              </w:rPr>
              <w:t xml:space="preserve">первісна вартість </w:t>
            </w:r>
          </w:p>
        </w:tc>
        <w:tc>
          <w:tcPr>
            <w:tcW w:w="61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1001</w:t>
            </w: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5 106</w:t>
            </w: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5 170</w:t>
            </w:r>
          </w:p>
        </w:tc>
        <w:tc>
          <w:tcPr>
            <w:tcW w:w="1060"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6 115</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  </w:t>
            </w:r>
            <w:r>
              <w:rPr>
                <w:rFonts w:ascii="Times New Roman" w:hAnsi="Times New Roman" w:cs="Times New Roman" w:eastAsia="Times New Roman"/>
                <w:color w:val="000000"/>
                <w:spacing w:val="0"/>
                <w:position w:val="0"/>
                <w:sz w:val="20"/>
                <w:u w:val="single"/>
                <w:shd w:fill="auto" w:val="clear"/>
              </w:rPr>
              <w:t xml:space="preserve">накопичена амортизація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1002</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1766</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1 977</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2 583</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Незавершені капітальні інвестиції</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1005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Основні засоби</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1010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316 834</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382 017</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382 487</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  </w:t>
            </w:r>
            <w:r>
              <w:rPr>
                <w:rFonts w:ascii="Times New Roman" w:hAnsi="Times New Roman" w:cs="Times New Roman" w:eastAsia="Times New Roman"/>
                <w:color w:val="000000"/>
                <w:spacing w:val="0"/>
                <w:position w:val="0"/>
                <w:sz w:val="20"/>
                <w:u w:val="single"/>
                <w:shd w:fill="auto" w:val="clear"/>
              </w:rPr>
              <w:t xml:space="preserve">первісна вартість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1011</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420 279</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495 469</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510 800</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  </w:t>
            </w:r>
            <w:r>
              <w:rPr>
                <w:rFonts w:ascii="Times New Roman" w:hAnsi="Times New Roman" w:cs="Times New Roman" w:eastAsia="Times New Roman"/>
                <w:color w:val="000000"/>
                <w:spacing w:val="0"/>
                <w:position w:val="0"/>
                <w:sz w:val="20"/>
                <w:u w:val="single"/>
                <w:shd w:fill="auto" w:val="clear"/>
              </w:rPr>
              <w:t xml:space="preserve">знос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1012</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24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103 445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24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113 452</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24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128 313</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Довгострокові біологічні активи</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1020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Times New Roman" w:hAnsi="Times New Roman" w:cs="Times New Roman" w:eastAsia="Times New Roman"/>
                <w:color w:val="000000"/>
                <w:spacing w:val="0"/>
                <w:position w:val="0"/>
                <w:sz w:val="20"/>
                <w:u w:val="single"/>
                <w:shd w:fill="auto" w:val="clear"/>
              </w:rPr>
              <w:t xml:space="preserve">Довгострокові фінансові інвестиції:</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які обліковуються за методом участі в капіталі інших підприємств</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1030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Інші фінансові інвестиції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1035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Довгострокова дебіторська заборгованість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1040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Відстрочені податкові активи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1045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2 862</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4 581</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18 274</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Інші необоротні активи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1090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Усього за розділом I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1095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323 036</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389 791</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404 293</w:t>
            </w:r>
          </w:p>
        </w:tc>
      </w:tr>
      <w:tr>
        <w:trPr>
          <w:trHeight w:val="1" w:hRule="atLeast"/>
          <w:jc w:val="left"/>
        </w:trPr>
        <w:tc>
          <w:tcPr>
            <w:tcW w:w="5563" w:type="dxa"/>
            <w:tcBorders>
              <w:top w:val="single" w:color="000000" w:sz="4"/>
              <w:left w:val="single" w:color="000000" w:sz="4"/>
              <w:bottom w:val="single" w:color="000000" w:sz="0"/>
              <w:right w:val="single" w:color="000000" w:sz="4"/>
            </w:tcBorders>
            <w:shd w:color="000000" w:fill="ffffff" w:val="clear"/>
            <w:tcMar>
              <w:left w:w="0" w:type="dxa"/>
              <w:right w:w="0" w:type="dxa"/>
            </w:tcMar>
            <w:vAlign w:val="center"/>
          </w:tcPr>
          <w:p>
            <w:pPr>
              <w:spacing w:before="0" w:after="0" w:line="240"/>
              <w:ind w:right="0" w:left="0" w:firstLine="567"/>
              <w:jc w:val="both"/>
              <w:rPr>
                <w:spacing w:val="0"/>
                <w:position w:val="0"/>
              </w:rPr>
            </w:pPr>
            <w:r>
              <w:rPr>
                <w:rFonts w:ascii="Times New Roman" w:hAnsi="Times New Roman" w:cs="Times New Roman" w:eastAsia="Times New Roman"/>
                <w:color w:val="000000"/>
                <w:spacing w:val="0"/>
                <w:position w:val="0"/>
                <w:sz w:val="20"/>
                <w:u w:val="single"/>
                <w:shd w:fill="auto" w:val="clear"/>
              </w:rPr>
              <w:t xml:space="preserve">II. </w:t>
            </w:r>
            <w:r>
              <w:rPr>
                <w:rFonts w:ascii="Times New Roman" w:hAnsi="Times New Roman" w:cs="Times New Roman" w:eastAsia="Times New Roman"/>
                <w:color w:val="000000"/>
                <w:spacing w:val="0"/>
                <w:position w:val="0"/>
                <w:sz w:val="20"/>
                <w:u w:val="single"/>
                <w:shd w:fill="auto" w:val="clear"/>
              </w:rPr>
              <w:t xml:space="preserve">Оборотні активи</w:t>
            </w:r>
          </w:p>
        </w:tc>
        <w:tc>
          <w:tcPr>
            <w:tcW w:w="614" w:type="dxa"/>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0"/>
              <w:left w:val="single" w:color="000000" w:sz="4"/>
              <w:bottom w:val="single" w:color="000000" w:sz="6"/>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Запаси</w:t>
            </w:r>
          </w:p>
        </w:tc>
        <w:tc>
          <w:tcPr>
            <w:tcW w:w="614"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1100</w:t>
            </w:r>
          </w:p>
        </w:tc>
        <w:tc>
          <w:tcPr>
            <w:tcW w:w="1064"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131 976</w:t>
            </w:r>
          </w:p>
        </w:tc>
        <w:tc>
          <w:tcPr>
            <w:tcW w:w="1064"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155 295</w:t>
            </w:r>
          </w:p>
        </w:tc>
        <w:tc>
          <w:tcPr>
            <w:tcW w:w="1060"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185 024</w:t>
            </w:r>
          </w:p>
        </w:tc>
      </w:tr>
      <w:tr>
        <w:trPr>
          <w:trHeight w:val="1" w:hRule="atLeast"/>
          <w:jc w:val="left"/>
        </w:trPr>
        <w:tc>
          <w:tcPr>
            <w:tcW w:w="5563" w:type="dxa"/>
            <w:tcBorders>
              <w:top w:val="single" w:color="000000" w:sz="6"/>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Виробничі запаси</w:t>
            </w:r>
          </w:p>
        </w:tc>
        <w:tc>
          <w:tcPr>
            <w:tcW w:w="61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1101</w:t>
            </w: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24 777</w:t>
            </w: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29 013</w:t>
            </w:r>
          </w:p>
        </w:tc>
        <w:tc>
          <w:tcPr>
            <w:tcW w:w="1060"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21 975</w:t>
            </w:r>
          </w:p>
        </w:tc>
      </w:tr>
      <w:tr>
        <w:trPr>
          <w:trHeight w:val="1" w:hRule="atLeast"/>
          <w:jc w:val="left"/>
        </w:trPr>
        <w:tc>
          <w:tcPr>
            <w:tcW w:w="5563" w:type="dxa"/>
            <w:tcBorders>
              <w:top w:val="single" w:color="000000" w:sz="6"/>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Незавершене виробництво</w:t>
            </w:r>
          </w:p>
        </w:tc>
        <w:tc>
          <w:tcPr>
            <w:tcW w:w="61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1102</w:t>
            </w: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42 761</w:t>
            </w: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48 434</w:t>
            </w:r>
          </w:p>
        </w:tc>
        <w:tc>
          <w:tcPr>
            <w:tcW w:w="1060"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70 851</w:t>
            </w:r>
          </w:p>
        </w:tc>
      </w:tr>
      <w:tr>
        <w:trPr>
          <w:trHeight w:val="1" w:hRule="atLeast"/>
          <w:jc w:val="left"/>
        </w:trPr>
        <w:tc>
          <w:tcPr>
            <w:tcW w:w="5563" w:type="dxa"/>
            <w:tcBorders>
              <w:top w:val="single" w:color="000000" w:sz="6"/>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Готова продукція</w:t>
            </w:r>
          </w:p>
        </w:tc>
        <w:tc>
          <w:tcPr>
            <w:tcW w:w="61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1103</w:t>
            </w: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64 438</w:t>
            </w: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77 848</w:t>
            </w:r>
          </w:p>
        </w:tc>
        <w:tc>
          <w:tcPr>
            <w:tcW w:w="1060"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92 198</w:t>
            </w:r>
          </w:p>
        </w:tc>
      </w:tr>
      <w:tr>
        <w:trPr>
          <w:trHeight w:val="1" w:hRule="atLeast"/>
          <w:jc w:val="left"/>
        </w:trPr>
        <w:tc>
          <w:tcPr>
            <w:tcW w:w="5563" w:type="dxa"/>
            <w:tcBorders>
              <w:top w:val="single" w:color="000000" w:sz="6"/>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Товари</w:t>
            </w:r>
          </w:p>
        </w:tc>
        <w:tc>
          <w:tcPr>
            <w:tcW w:w="61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1104</w:t>
            </w: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6"/>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Поточні біологічні активи </w:t>
            </w:r>
          </w:p>
        </w:tc>
        <w:tc>
          <w:tcPr>
            <w:tcW w:w="61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1110</w:t>
            </w: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Дебіторська заборгованість за продукцію, товари, роботи, послуги</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1125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21 778</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6 814</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p>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24 367</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Times New Roman" w:hAnsi="Times New Roman" w:cs="Times New Roman" w:eastAsia="Times New Roman"/>
                <w:color w:val="000000"/>
                <w:spacing w:val="0"/>
                <w:position w:val="0"/>
                <w:sz w:val="20"/>
                <w:u w:val="single"/>
                <w:shd w:fill="auto" w:val="clear"/>
              </w:rPr>
              <w:t xml:space="preserve">Дебіторська заборгованість за розрахунками:</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за виданими авансами</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1130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8 760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2 227</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p>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1 055</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з бюджетом</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1135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22 118</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9 423</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7 583</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у тому числі з податку на прибуток</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1136</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661</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113</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294</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Інша поточна дебіторська заборгованість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1155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1 738</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1 376</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2 936</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Поточні фінансові інвестиції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1160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Гроші та їх еквіваленти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1165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50 902</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17 711</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20 483</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Витрати майбутніх періодів</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1170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Інші оборотні активи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1190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27</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2 929</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3 316</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Усього за розділом II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1195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237 299</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195 786</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244 764</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567"/>
              <w:jc w:val="both"/>
              <w:rPr>
                <w:rFonts w:ascii="Times New Roman" w:hAnsi="Times New Roman" w:cs="Times New Roman" w:eastAsia="Times New Roman"/>
                <w:color w:val="000000"/>
                <w:spacing w:val="0"/>
                <w:position w:val="0"/>
                <w:sz w:val="20"/>
                <w:u w:val="single"/>
                <w:shd w:fill="auto" w:val="clear"/>
              </w:rPr>
            </w:pPr>
            <w:r>
              <w:rPr>
                <w:rFonts w:ascii="Times New Roman" w:hAnsi="Times New Roman" w:cs="Times New Roman" w:eastAsia="Times New Roman"/>
                <w:b/>
                <w:color w:val="000000"/>
                <w:spacing w:val="0"/>
                <w:position w:val="0"/>
                <w:sz w:val="20"/>
                <w:u w:val="single"/>
                <w:shd w:fill="auto" w:val="clear"/>
              </w:rPr>
              <w:t xml:space="preserve">III. </w:t>
            </w:r>
            <w:r>
              <w:rPr>
                <w:rFonts w:ascii="Times New Roman" w:hAnsi="Times New Roman" w:cs="Times New Roman" w:eastAsia="Times New Roman"/>
                <w:b/>
                <w:color w:val="000000"/>
                <w:spacing w:val="0"/>
                <w:position w:val="0"/>
                <w:sz w:val="20"/>
                <w:u w:val="single"/>
                <w:shd w:fill="auto" w:val="clear"/>
              </w:rPr>
              <w:t xml:space="preserve">Необоротні активи, утримувані </w:t>
            </w:r>
          </w:p>
          <w:p>
            <w:pPr>
              <w:spacing w:before="0" w:after="0" w:line="240"/>
              <w:ind w:right="0" w:left="0" w:firstLine="567"/>
              <w:jc w:val="both"/>
              <w:rPr>
                <w:spacing w:val="0"/>
                <w:position w:val="0"/>
              </w:rPr>
            </w:pPr>
            <w:r>
              <w:rPr>
                <w:rFonts w:ascii="Times New Roman" w:hAnsi="Times New Roman" w:cs="Times New Roman" w:eastAsia="Times New Roman"/>
                <w:b/>
                <w:color w:val="000000"/>
                <w:spacing w:val="0"/>
                <w:position w:val="0"/>
                <w:sz w:val="20"/>
                <w:u w:val="single"/>
                <w:shd w:fill="auto" w:val="clear"/>
              </w:rPr>
              <w:t xml:space="preserve">для продажу, та групи вибуття</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0"/>
                <w:u w:val="single"/>
                <w:shd w:fill="auto" w:val="clear"/>
              </w:rPr>
              <w:t xml:space="preserve">1200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1 797</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2 173</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p>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5 644</w:t>
            </w:r>
          </w:p>
        </w:tc>
      </w:tr>
      <w:tr>
        <w:trPr>
          <w:trHeight w:val="1" w:hRule="atLeast"/>
          <w:jc w:val="left"/>
        </w:trPr>
        <w:tc>
          <w:tcPr>
            <w:tcW w:w="5563" w:type="dxa"/>
            <w:tcBorders>
              <w:top w:val="single" w:color="000000" w:sz="4"/>
              <w:left w:val="single" w:color="000000" w:sz="4"/>
              <w:bottom w:val="single" w:color="000000" w:sz="6"/>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Баланс </w:t>
            </w:r>
          </w:p>
        </w:tc>
        <w:tc>
          <w:tcPr>
            <w:tcW w:w="614" w:type="dxa"/>
            <w:tcBorders>
              <w:top w:val="single" w:color="000000" w:sz="4"/>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0"/>
                <w:u w:val="single"/>
                <w:shd w:fill="auto" w:val="clear"/>
              </w:rPr>
              <w:t xml:space="preserve">1300</w:t>
            </w:r>
          </w:p>
        </w:tc>
        <w:tc>
          <w:tcPr>
            <w:tcW w:w="1064" w:type="dxa"/>
            <w:tcBorders>
              <w:top w:val="single" w:color="000000" w:sz="4"/>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562 132</w:t>
            </w:r>
          </w:p>
        </w:tc>
        <w:tc>
          <w:tcPr>
            <w:tcW w:w="1064" w:type="dxa"/>
            <w:tcBorders>
              <w:top w:val="single" w:color="000000" w:sz="4"/>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587 750</w:t>
            </w:r>
          </w:p>
        </w:tc>
        <w:tc>
          <w:tcPr>
            <w:tcW w:w="1060" w:type="dxa"/>
            <w:tcBorders>
              <w:top w:val="single" w:color="000000" w:sz="4"/>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654 701</w:t>
            </w:r>
          </w:p>
        </w:tc>
      </w:tr>
      <w:tr>
        <w:trPr>
          <w:trHeight w:val="1" w:hRule="atLeast"/>
          <w:jc w:val="left"/>
        </w:trPr>
        <w:tc>
          <w:tcPr>
            <w:tcW w:w="5563"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Пасив</w:t>
            </w:r>
          </w:p>
        </w:tc>
        <w:tc>
          <w:tcPr>
            <w:tcW w:w="614"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Код рядка</w:t>
            </w:r>
          </w:p>
        </w:tc>
        <w:tc>
          <w:tcPr>
            <w:tcW w:w="1064"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На кінець звітного періоду 2018 року</w:t>
            </w:r>
          </w:p>
        </w:tc>
        <w:tc>
          <w:tcPr>
            <w:tcW w:w="1064"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На кінець звітного періоду 2019 року</w:t>
            </w:r>
          </w:p>
        </w:tc>
        <w:tc>
          <w:tcPr>
            <w:tcW w:w="1060" w:type="dxa"/>
            <w:tcBorders>
              <w:top w:val="single" w:color="000000" w:sz="6"/>
              <w:left w:val="single" w:color="000000" w:sz="4"/>
              <w:bottom w:val="single" w:color="000000" w:sz="6"/>
              <w:right w:val="single" w:color="000000" w:sz="4"/>
            </w:tcBorders>
            <w:shd w:color="000000" w:fill="d9d9d9"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На кінець звітного періоду 2020 року</w:t>
            </w:r>
          </w:p>
        </w:tc>
      </w:tr>
      <w:tr>
        <w:trPr>
          <w:trHeight w:val="1" w:hRule="atLeast"/>
          <w:jc w:val="left"/>
        </w:trPr>
        <w:tc>
          <w:tcPr>
            <w:tcW w:w="5563"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w:t>
            </w:r>
          </w:p>
        </w:tc>
        <w:tc>
          <w:tcPr>
            <w:tcW w:w="614"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w:t>
            </w:r>
          </w:p>
        </w:tc>
        <w:tc>
          <w:tcPr>
            <w:tcW w:w="1064"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4</w:t>
            </w:r>
          </w:p>
        </w:tc>
        <w:tc>
          <w:tcPr>
            <w:tcW w:w="1064"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5</w:t>
            </w:r>
          </w:p>
        </w:tc>
        <w:tc>
          <w:tcPr>
            <w:tcW w:w="1060" w:type="dxa"/>
            <w:tcBorders>
              <w:top w:val="single" w:color="000000" w:sz="6"/>
              <w:left w:val="single" w:color="000000" w:sz="4"/>
              <w:bottom w:val="single" w:color="000000" w:sz="6"/>
              <w:right w:val="single" w:color="000000" w:sz="4"/>
            </w:tcBorders>
            <w:shd w:color="000000" w:fill="d9d9d9"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6</w:t>
            </w:r>
          </w:p>
        </w:tc>
      </w:tr>
      <w:tr>
        <w:trPr>
          <w:trHeight w:val="1" w:hRule="atLeast"/>
          <w:jc w:val="left"/>
        </w:trPr>
        <w:tc>
          <w:tcPr>
            <w:tcW w:w="5563" w:type="dxa"/>
            <w:tcBorders>
              <w:top w:val="single" w:color="000000" w:sz="6"/>
              <w:left w:val="single" w:color="000000" w:sz="4"/>
              <w:bottom w:val="single" w:color="000000" w:sz="0"/>
              <w:right w:val="single" w:color="000000" w:sz="4"/>
            </w:tcBorders>
            <w:shd w:color="000000" w:fill="ffffff" w:val="clear"/>
            <w:tcMar>
              <w:left w:w="0" w:type="dxa"/>
              <w:right w:w="0" w:type="dxa"/>
            </w:tcMar>
            <w:vAlign w:val="center"/>
          </w:tcPr>
          <w:p>
            <w:pPr>
              <w:spacing w:before="0" w:after="0" w:line="240"/>
              <w:ind w:right="0" w:left="0" w:firstLine="567"/>
              <w:jc w:val="both"/>
              <w:rPr>
                <w:spacing w:val="0"/>
                <w:position w:val="0"/>
              </w:rPr>
            </w:pPr>
            <w:r>
              <w:rPr>
                <w:rFonts w:ascii="Times New Roman" w:hAnsi="Times New Roman" w:cs="Times New Roman" w:eastAsia="Times New Roman"/>
                <w:color w:val="000000"/>
                <w:spacing w:val="0"/>
                <w:position w:val="0"/>
                <w:sz w:val="20"/>
                <w:u w:val="single"/>
                <w:shd w:fill="auto" w:val="clear"/>
              </w:rPr>
              <w:t xml:space="preserve">I. </w:t>
            </w:r>
            <w:r>
              <w:rPr>
                <w:rFonts w:ascii="Times New Roman" w:hAnsi="Times New Roman" w:cs="Times New Roman" w:eastAsia="Times New Roman"/>
                <w:color w:val="000000"/>
                <w:spacing w:val="0"/>
                <w:position w:val="0"/>
                <w:sz w:val="20"/>
                <w:u w:val="single"/>
                <w:shd w:fill="auto" w:val="clear"/>
              </w:rPr>
              <w:t xml:space="preserve">Власний капітал</w:t>
            </w:r>
          </w:p>
        </w:tc>
        <w:tc>
          <w:tcPr>
            <w:tcW w:w="614" w:type="dxa"/>
            <w:tcBorders>
              <w:top w:val="single" w:color="000000" w:sz="6"/>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6"/>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64" w:type="dxa"/>
            <w:tcBorders>
              <w:top w:val="single" w:color="000000" w:sz="6"/>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60" w:type="dxa"/>
            <w:tcBorders>
              <w:top w:val="single" w:color="000000" w:sz="6"/>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0"/>
              <w:left w:val="single" w:color="000000" w:sz="4"/>
              <w:bottom w:val="single" w:color="000000" w:sz="6"/>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Зареєстрований (пайовий) капітал</w:t>
            </w:r>
          </w:p>
        </w:tc>
        <w:tc>
          <w:tcPr>
            <w:tcW w:w="614"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1400</w:t>
            </w:r>
          </w:p>
        </w:tc>
        <w:tc>
          <w:tcPr>
            <w:tcW w:w="1064"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5 911</w:t>
            </w:r>
          </w:p>
        </w:tc>
        <w:tc>
          <w:tcPr>
            <w:tcW w:w="1064"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5 911</w:t>
            </w:r>
          </w:p>
        </w:tc>
        <w:tc>
          <w:tcPr>
            <w:tcW w:w="1060"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5 911</w:t>
            </w:r>
          </w:p>
        </w:tc>
      </w:tr>
      <w:tr>
        <w:trPr>
          <w:trHeight w:val="1" w:hRule="atLeast"/>
          <w:jc w:val="left"/>
        </w:trPr>
        <w:tc>
          <w:tcPr>
            <w:tcW w:w="5563" w:type="dxa"/>
            <w:tcBorders>
              <w:top w:val="single" w:color="000000" w:sz="6"/>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Капітал у дооцінках</w:t>
            </w:r>
          </w:p>
        </w:tc>
        <w:tc>
          <w:tcPr>
            <w:tcW w:w="61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1405</w:t>
            </w: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25 834</w:t>
            </w: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25 456</w:t>
            </w:r>
          </w:p>
        </w:tc>
        <w:tc>
          <w:tcPr>
            <w:tcW w:w="1060"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24 916</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Додатковий капітал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1410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29</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17</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17</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Резервний капітал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1415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14 196</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14 196</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14 196</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Нерозподілений прибуток (непокритий збиток)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1420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221 932</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253 725</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190 433</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Неоплачений капітал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1425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Вилучений капітал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1430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(16)</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Усього за розділом I</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1495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267 886</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299 316</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235 473</w:t>
            </w:r>
          </w:p>
        </w:tc>
      </w:tr>
      <w:tr>
        <w:trPr>
          <w:trHeight w:val="1" w:hRule="atLeast"/>
          <w:jc w:val="left"/>
        </w:trPr>
        <w:tc>
          <w:tcPr>
            <w:tcW w:w="5563" w:type="dxa"/>
            <w:tcBorders>
              <w:top w:val="single" w:color="000000" w:sz="4"/>
              <w:left w:val="single" w:color="000000" w:sz="4"/>
              <w:bottom w:val="single" w:color="000000" w:sz="0"/>
              <w:right w:val="single" w:color="000000" w:sz="4"/>
            </w:tcBorders>
            <w:shd w:color="000000" w:fill="ffffff" w:val="clear"/>
            <w:tcMar>
              <w:left w:w="0" w:type="dxa"/>
              <w:right w:w="0" w:type="dxa"/>
            </w:tcMar>
            <w:vAlign w:val="center"/>
          </w:tcPr>
          <w:p>
            <w:pPr>
              <w:spacing w:before="0" w:after="0" w:line="240"/>
              <w:ind w:right="0" w:left="0" w:firstLine="567"/>
              <w:jc w:val="both"/>
              <w:rPr>
                <w:spacing w:val="0"/>
                <w:position w:val="0"/>
              </w:rPr>
            </w:pPr>
            <w:r>
              <w:rPr>
                <w:rFonts w:ascii="Times New Roman" w:hAnsi="Times New Roman" w:cs="Times New Roman" w:eastAsia="Times New Roman"/>
                <w:color w:val="000000"/>
                <w:spacing w:val="0"/>
                <w:position w:val="0"/>
                <w:sz w:val="20"/>
                <w:u w:val="single"/>
                <w:shd w:fill="auto" w:val="clear"/>
              </w:rPr>
              <w:t xml:space="preserve">II. </w:t>
            </w:r>
            <w:r>
              <w:rPr>
                <w:rFonts w:ascii="Times New Roman" w:hAnsi="Times New Roman" w:cs="Times New Roman" w:eastAsia="Times New Roman"/>
                <w:color w:val="000000"/>
                <w:spacing w:val="0"/>
                <w:position w:val="0"/>
                <w:sz w:val="20"/>
                <w:u w:val="single"/>
                <w:shd w:fill="auto" w:val="clear"/>
              </w:rPr>
              <w:t xml:space="preserve">Довгострокові зобов’язання і забезпечення</w:t>
            </w:r>
          </w:p>
        </w:tc>
        <w:tc>
          <w:tcPr>
            <w:tcW w:w="614" w:type="dxa"/>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0"/>
              <w:left w:val="single" w:color="000000" w:sz="4"/>
              <w:bottom w:val="single" w:color="000000" w:sz="6"/>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Відстрочені податкові зобов’язання</w:t>
            </w:r>
          </w:p>
        </w:tc>
        <w:tc>
          <w:tcPr>
            <w:tcW w:w="614"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1500</w:t>
            </w:r>
          </w:p>
        </w:tc>
        <w:tc>
          <w:tcPr>
            <w:tcW w:w="1064"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6"/>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Довгострокові кредити банків</w:t>
            </w:r>
          </w:p>
        </w:tc>
        <w:tc>
          <w:tcPr>
            <w:tcW w:w="61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1510</w:t>
            </w: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Інші довгострокові зобов’язання</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1515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173 799</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158 504</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69 879</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Довгострокові забезпечення</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1520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18 917</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28 110</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44 733</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Цільове фінансування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1525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Усього за розділом II</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1595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192 716</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186 614</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114 612</w:t>
            </w:r>
          </w:p>
        </w:tc>
      </w:tr>
      <w:tr>
        <w:trPr>
          <w:trHeight w:val="1" w:hRule="atLeast"/>
          <w:jc w:val="left"/>
        </w:trPr>
        <w:tc>
          <w:tcPr>
            <w:tcW w:w="5563" w:type="dxa"/>
            <w:tcBorders>
              <w:top w:val="single" w:color="000000" w:sz="4"/>
              <w:left w:val="single" w:color="000000" w:sz="4"/>
              <w:bottom w:val="single" w:color="000000" w:sz="0"/>
              <w:right w:val="single" w:color="000000" w:sz="4"/>
            </w:tcBorders>
            <w:shd w:color="000000" w:fill="ffffff" w:val="clear"/>
            <w:tcMar>
              <w:left w:w="0" w:type="dxa"/>
              <w:right w:w="0" w:type="dxa"/>
            </w:tcMar>
            <w:vAlign w:val="center"/>
          </w:tcPr>
          <w:p>
            <w:pPr>
              <w:spacing w:before="0" w:after="0" w:line="240"/>
              <w:ind w:right="0" w:left="0" w:firstLine="567"/>
              <w:jc w:val="both"/>
              <w:rPr>
                <w:spacing w:val="0"/>
                <w:position w:val="0"/>
              </w:rPr>
            </w:pPr>
            <w:r>
              <w:rPr>
                <w:rFonts w:ascii="Times New Roman" w:hAnsi="Times New Roman" w:cs="Times New Roman" w:eastAsia="Times New Roman"/>
                <w:color w:val="000000"/>
                <w:spacing w:val="0"/>
                <w:position w:val="0"/>
                <w:sz w:val="20"/>
                <w:u w:val="single"/>
                <w:shd w:fill="auto" w:val="clear"/>
              </w:rPr>
              <w:t xml:space="preserve">I</w:t>
            </w:r>
            <w:r>
              <w:rPr>
                <w:rFonts w:ascii="Times New Roman" w:hAnsi="Times New Roman" w:cs="Times New Roman" w:eastAsia="Times New Roman"/>
                <w:color w:val="000000"/>
                <w:spacing w:val="0"/>
                <w:position w:val="0"/>
                <w:sz w:val="20"/>
                <w:u w:val="single"/>
                <w:shd w:fill="auto" w:val="clear"/>
              </w:rPr>
              <w:t xml:space="preserve">ІІ. Поточні зобов’язання і забезпечення</w:t>
            </w:r>
          </w:p>
        </w:tc>
        <w:tc>
          <w:tcPr>
            <w:tcW w:w="614" w:type="dxa"/>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0"/>
              <w:left w:val="single" w:color="000000" w:sz="4"/>
              <w:bottom w:val="single" w:color="000000" w:sz="6"/>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Короткострокові кредити банків </w:t>
            </w:r>
          </w:p>
        </w:tc>
        <w:tc>
          <w:tcPr>
            <w:tcW w:w="614"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1600</w:t>
            </w:r>
          </w:p>
        </w:tc>
        <w:tc>
          <w:tcPr>
            <w:tcW w:w="1064"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64"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60" w:type="dxa"/>
            <w:tcBorders>
              <w:top w:val="single" w:color="000000" w:sz="0"/>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6"/>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Times New Roman" w:hAnsi="Times New Roman" w:cs="Times New Roman" w:eastAsia="Times New Roman"/>
                <w:color w:val="000000"/>
                <w:spacing w:val="0"/>
                <w:position w:val="0"/>
                <w:sz w:val="20"/>
                <w:u w:val="single"/>
                <w:shd w:fill="auto" w:val="clear"/>
              </w:rPr>
              <w:t xml:space="preserve">Поточна кредиторська заборгованість за:</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довгостроковими зобов’язаннями </w:t>
            </w:r>
          </w:p>
        </w:tc>
        <w:tc>
          <w:tcPr>
            <w:tcW w:w="61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1610</w:t>
            </w: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45 637</w:t>
            </w:r>
          </w:p>
        </w:tc>
        <w:tc>
          <w:tcPr>
            <w:tcW w:w="1064"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38 021</w:t>
            </w:r>
          </w:p>
        </w:tc>
        <w:tc>
          <w:tcPr>
            <w:tcW w:w="1060"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p>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222 016</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товари, роботи, послуги </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1615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23 603</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26 289</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24 538</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розрахунками з бюджетом</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1620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2 854</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1 223</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904</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у тому числі з податку на прибуток</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1621</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1 931</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розрахунками зі страхування</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1625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166</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468</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440</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розрахунками з оплати праці</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1630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1 448</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1 930</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1 848</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Поточна кредиторська заборгованість за одержаними авансами</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1635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758</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5 638</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14 753</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Поточні забезпечення</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1660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6 119</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6 677</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7 273</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Доходи майбутніх періодів</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1665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Інші поточні зобов’язання</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1690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20 945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21 574</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32 844</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Усього за розділом IІІ</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1695</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101 530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101 820</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304 616</w:t>
            </w: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567"/>
              <w:jc w:val="both"/>
              <w:rPr>
                <w:spacing w:val="0"/>
                <w:position w:val="0"/>
              </w:rPr>
            </w:pPr>
            <w:r>
              <w:rPr>
                <w:rFonts w:ascii="Times New Roman" w:hAnsi="Times New Roman" w:cs="Times New Roman" w:eastAsia="Times New Roman"/>
                <w:b/>
                <w:color w:val="000000"/>
                <w:spacing w:val="0"/>
                <w:position w:val="0"/>
                <w:sz w:val="20"/>
                <w:u w:val="single"/>
                <w:shd w:fill="auto" w:val="clear"/>
              </w:rPr>
              <w:t xml:space="preserve">ІV. Зобов’язання, пов’язані з необоротними активами, утримуваними для продажу, та групами вибуття</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1700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r>
      <w:tr>
        <w:trPr>
          <w:trHeight w:val="1" w:hRule="atLeast"/>
          <w:jc w:val="left"/>
        </w:trPr>
        <w:tc>
          <w:tcPr>
            <w:tcW w:w="556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Баланс</w:t>
            </w:r>
          </w:p>
        </w:tc>
        <w:tc>
          <w:tcPr>
            <w:tcW w:w="6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1900</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562 132</w:t>
            </w:r>
          </w:p>
        </w:tc>
        <w:tc>
          <w:tcPr>
            <w:tcW w:w="106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587 750</w:t>
            </w:r>
          </w:p>
        </w:tc>
        <w:tc>
          <w:tcPr>
            <w:tcW w:w="106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654 701</w:t>
            </w:r>
          </w:p>
        </w:tc>
      </w:tr>
    </w:tbl>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tbl>
      <w:tblPr/>
      <w:tblGrid>
        <w:gridCol w:w="5637"/>
        <w:gridCol w:w="3934"/>
      </w:tblGrid>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Голова Правління</w:t>
            </w: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Літвін Денис Васильович</w:t>
            </w:r>
          </w:p>
        </w:tc>
      </w:tr>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0"/>
              <w:jc w:val="both"/>
              <w:rPr>
                <w:spacing w:val="0"/>
                <w:position w:val="0"/>
                <w:sz w:val="22"/>
              </w:rPr>
            </w:pP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Головний бухгалтер</w:t>
            </w: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Майборода Лариса Іванівна</w:t>
            </w:r>
          </w:p>
        </w:tc>
      </w:tr>
    </w:tbl>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numPr>
          <w:ilvl w:val="0"/>
          <w:numId w:val="413"/>
        </w:numPr>
        <w:spacing w:before="0" w:after="0" w:line="240"/>
        <w:ind w:right="0" w:left="1872" w:hanging="431"/>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tbl>
      <w:tblPr/>
      <w:tblGrid>
        <w:gridCol w:w="1361"/>
        <w:gridCol w:w="5558"/>
        <w:gridCol w:w="977"/>
        <w:gridCol w:w="584"/>
        <w:gridCol w:w="438"/>
        <w:gridCol w:w="442"/>
      </w:tblGrid>
      <w:tr>
        <w:trPr>
          <w:trHeight w:val="1" w:hRule="atLeast"/>
          <w:jc w:val="left"/>
        </w:trPr>
        <w:tc>
          <w:tcPr>
            <w:tcW w:w="7896" w:type="dxa"/>
            <w:gridSpan w:val="3"/>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464"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КОДИ</w:t>
            </w:r>
          </w:p>
        </w:tc>
      </w:tr>
      <w:tr>
        <w:trPr>
          <w:trHeight w:val="1" w:hRule="atLeast"/>
          <w:jc w:val="left"/>
        </w:trPr>
        <w:tc>
          <w:tcPr>
            <w:tcW w:w="7896" w:type="dxa"/>
            <w:gridSpan w:val="3"/>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Дата (рік, місяць, число)</w:t>
            </w:r>
          </w:p>
        </w:tc>
        <w:tc>
          <w:tcPr>
            <w:tcW w:w="58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2021 </w:t>
            </w:r>
          </w:p>
        </w:tc>
        <w:tc>
          <w:tcPr>
            <w:tcW w:w="43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01</w:t>
            </w:r>
          </w:p>
        </w:tc>
        <w:tc>
          <w:tcPr>
            <w:tcW w:w="44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01</w:t>
            </w:r>
          </w:p>
        </w:tc>
      </w:tr>
      <w:tr>
        <w:trPr>
          <w:trHeight w:val="1" w:hRule="atLeast"/>
          <w:jc w:val="left"/>
        </w:trPr>
        <w:tc>
          <w:tcPr>
            <w:tcW w:w="1361"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Підприємство</w:t>
            </w:r>
          </w:p>
        </w:tc>
        <w:tc>
          <w:tcPr>
            <w:tcW w:w="5558" w:type="dxa"/>
            <w:tcBorders>
              <w:top w:val="single" w:color="000000" w:sz="0"/>
              <w:left w:val="single" w:color="000000" w:sz="0"/>
              <w:bottom w:val="single" w:color="000000" w:sz="4"/>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Приватне акціонерне товариство </w:t>
            </w:r>
            <w:r>
              <w:rPr>
                <w:rFonts w:ascii="Times New Roman" w:hAnsi="Times New Roman" w:cs="Times New Roman" w:eastAsia="Times New Roman"/>
                <w:b/>
                <w:color w:val="000000"/>
                <w:spacing w:val="0"/>
                <w:position w:val="0"/>
                <w:sz w:val="22"/>
                <w:u w:val="single"/>
                <w:shd w:fill="auto" w:val="clear"/>
              </w:rPr>
              <w:t xml:space="preserve">«</w:t>
            </w:r>
            <w:r>
              <w:rPr>
                <w:rFonts w:ascii="Times New Roman" w:hAnsi="Times New Roman" w:cs="Times New Roman" w:eastAsia="Times New Roman"/>
                <w:b/>
                <w:color w:val="000000"/>
                <w:spacing w:val="0"/>
                <w:position w:val="0"/>
                <w:sz w:val="22"/>
                <w:u w:val="single"/>
                <w:shd w:fill="auto" w:val="clear"/>
              </w:rPr>
              <w:t xml:space="preserve">Ватутінський комбінат вогнетривів</w:t>
            </w:r>
            <w:r>
              <w:rPr>
                <w:rFonts w:ascii="Times New Roman" w:hAnsi="Times New Roman" w:cs="Times New Roman" w:eastAsia="Times New Roman"/>
                <w:b/>
                <w:color w:val="000000"/>
                <w:spacing w:val="0"/>
                <w:position w:val="0"/>
                <w:sz w:val="22"/>
                <w:u w:val="single"/>
                <w:shd w:fill="auto" w:val="clear"/>
              </w:rPr>
              <w:t xml:space="preserve">»</w:t>
            </w:r>
          </w:p>
        </w:tc>
        <w:tc>
          <w:tcPr>
            <w:tcW w:w="977" w:type="dxa"/>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ЄДРПОУ</w:t>
            </w:r>
          </w:p>
        </w:tc>
        <w:tc>
          <w:tcPr>
            <w:tcW w:w="1464"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00191916 </w:t>
            </w:r>
          </w:p>
        </w:tc>
      </w:tr>
    </w:tbl>
    <w:p>
      <w:pPr>
        <w:spacing w:before="0" w:after="0" w:line="240"/>
        <w:ind w:right="0" w:left="0" w:firstLine="0"/>
        <w:jc w:val="center"/>
        <w:rPr>
          <w:rFonts w:ascii="Times New Roman" w:hAnsi="Times New Roman" w:cs="Times New Roman" w:eastAsia="Times New Roman"/>
          <w:color w:val="000000"/>
          <w:spacing w:val="0"/>
          <w:position w:val="0"/>
          <w:sz w:val="18"/>
          <w:u w:val="single"/>
          <w:shd w:fill="auto" w:val="clear"/>
        </w:rPr>
      </w:pPr>
      <w:r>
        <w:rPr>
          <w:rFonts w:ascii="Times New Roman" w:hAnsi="Times New Roman" w:cs="Times New Roman" w:eastAsia="Times New Roman"/>
          <w:color w:val="000000"/>
          <w:spacing w:val="0"/>
          <w:position w:val="0"/>
          <w:sz w:val="18"/>
          <w:u w:val="single"/>
          <w:shd w:fill="auto" w:val="clear"/>
        </w:rPr>
        <w:t xml:space="preserve">(</w:t>
      </w:r>
      <w:r>
        <w:rPr>
          <w:rFonts w:ascii="Times New Roman" w:hAnsi="Times New Roman" w:cs="Times New Roman" w:eastAsia="Times New Roman"/>
          <w:color w:val="000000"/>
          <w:spacing w:val="0"/>
          <w:position w:val="0"/>
          <w:sz w:val="18"/>
          <w:u w:val="single"/>
          <w:shd w:fill="auto" w:val="clear"/>
        </w:rPr>
        <w:t xml:space="preserve">найменування)</w:t>
      </w:r>
    </w:p>
    <w:p>
      <w:pPr>
        <w:spacing w:before="0" w:after="0" w:line="240"/>
        <w:ind w:right="0" w:left="0" w:firstLine="0"/>
        <w:jc w:val="center"/>
        <w:rPr>
          <w:rFonts w:ascii="Times New Roman" w:hAnsi="Times New Roman" w:cs="Times New Roman" w:eastAsia="Times New Roman"/>
          <w:color w:val="000000"/>
          <w:spacing w:val="0"/>
          <w:position w:val="0"/>
          <w:sz w:val="18"/>
          <w:u w:val="single"/>
          <w:shd w:fill="auto" w:val="clear"/>
        </w:rPr>
      </w:pPr>
    </w:p>
    <w:p>
      <w:pPr>
        <w:keepNext w:val="true"/>
        <w:numPr>
          <w:ilvl w:val="0"/>
          <w:numId w:val="427"/>
        </w:numPr>
        <w:spacing w:before="0" w:after="0" w:line="240"/>
        <w:ind w:right="0" w:left="1871" w:hanging="430"/>
        <w:jc w:val="center"/>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ЗВІТ ПРО ФІНАНСОВІ РЕЗУЛЬТАТИ (ЗВІТ ПРО СУКУПНИЙ ДОХІД)</w:t>
      </w:r>
    </w:p>
    <w:p>
      <w:pPr>
        <w:keepNext w:val="true"/>
        <w:numPr>
          <w:ilvl w:val="0"/>
          <w:numId w:val="427"/>
        </w:numPr>
        <w:spacing w:before="0" w:after="0" w:line="240"/>
        <w:ind w:right="0" w:left="1871" w:hanging="430"/>
        <w:jc w:val="center"/>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ЗА  2020 РІК</w:t>
      </w:r>
    </w:p>
    <w:p>
      <w:pPr>
        <w:spacing w:before="0" w:after="0" w:line="240"/>
        <w:ind w:right="0" w:left="0" w:firstLine="567"/>
        <w:jc w:val="center"/>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6"/>
          <w:u w:val="single"/>
          <w:shd w:fill="auto" w:val="clear"/>
        </w:rPr>
      </w:pPr>
    </w:p>
    <w:tbl>
      <w:tblPr/>
      <w:tblGrid>
        <w:gridCol w:w="6409"/>
        <w:gridCol w:w="1601"/>
        <w:gridCol w:w="1350"/>
      </w:tblGrid>
      <w:tr>
        <w:trPr>
          <w:trHeight w:val="1" w:hRule="atLeast"/>
          <w:jc w:val="left"/>
        </w:trPr>
        <w:tc>
          <w:tcPr>
            <w:tcW w:w="6409"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567"/>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Форма N 2</w:t>
            </w:r>
          </w:p>
        </w:tc>
        <w:tc>
          <w:tcPr>
            <w:tcW w:w="1601" w:type="dxa"/>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Код за ДКУД</w:t>
            </w:r>
          </w:p>
        </w:tc>
        <w:tc>
          <w:tcPr>
            <w:tcW w:w="135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1801003</w:t>
            </w:r>
          </w:p>
        </w:tc>
      </w:tr>
    </w:tbl>
    <w:p>
      <w:pPr>
        <w:spacing w:before="0" w:after="0" w:line="240"/>
        <w:ind w:right="0" w:left="0" w:firstLine="0"/>
        <w:jc w:val="both"/>
        <w:rPr>
          <w:rFonts w:ascii="Times New Roman" w:hAnsi="Times New Roman" w:cs="Times New Roman" w:eastAsia="Times New Roman"/>
          <w:color w:val="000000"/>
          <w:spacing w:val="0"/>
          <w:position w:val="0"/>
          <w:sz w:val="6"/>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r>
        <w:rPr>
          <w:rFonts w:ascii="Times New Roman" w:hAnsi="Times New Roman" w:cs="Times New Roman" w:eastAsia="Times New Roman"/>
          <w:color w:val="000000"/>
          <w:spacing w:val="0"/>
          <w:position w:val="0"/>
          <w:sz w:val="22"/>
          <w:u w:val="single"/>
          <w:shd w:fill="auto" w:val="clear"/>
        </w:rPr>
        <w:t xml:space="preserve">І. ФІНАНСОВІ РЕЗУЛЬТАТИ</w:t>
      </w:r>
    </w:p>
    <w:p>
      <w:pPr>
        <w:spacing w:before="0" w:after="0" w:line="240"/>
        <w:ind w:right="0" w:left="0" w:firstLine="0"/>
        <w:jc w:val="both"/>
        <w:rPr>
          <w:rFonts w:ascii="Times New Roman" w:hAnsi="Times New Roman" w:cs="Times New Roman" w:eastAsia="Times New Roman"/>
          <w:color w:val="000000"/>
          <w:spacing w:val="0"/>
          <w:position w:val="0"/>
          <w:sz w:val="6"/>
          <w:u w:val="single"/>
          <w:shd w:fill="auto" w:val="clear"/>
        </w:rPr>
      </w:pPr>
    </w:p>
    <w:tbl>
      <w:tblPr/>
      <w:tblGrid>
        <w:gridCol w:w="5625"/>
        <w:gridCol w:w="802"/>
        <w:gridCol w:w="1470"/>
        <w:gridCol w:w="1468"/>
      </w:tblGrid>
      <w:tr>
        <w:trPr>
          <w:trHeight w:val="1" w:hRule="atLeast"/>
          <w:jc w:val="left"/>
        </w:trPr>
        <w:tc>
          <w:tcPr>
            <w:tcW w:w="5625" w:type="dxa"/>
            <w:tcBorders>
              <w:top w:val="single" w:color="000000" w:sz="4"/>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567"/>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Стаття</w:t>
            </w:r>
          </w:p>
        </w:tc>
        <w:tc>
          <w:tcPr>
            <w:tcW w:w="802" w:type="dxa"/>
            <w:tcBorders>
              <w:top w:val="single" w:color="000000" w:sz="4"/>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Код рядка</w:t>
            </w:r>
          </w:p>
        </w:tc>
        <w:tc>
          <w:tcPr>
            <w:tcW w:w="1470" w:type="dxa"/>
            <w:tcBorders>
              <w:top w:val="single" w:color="000000" w:sz="4"/>
              <w:left w:val="single" w:color="000000" w:sz="4"/>
              <w:bottom w:val="single" w:color="000000" w:sz="6"/>
              <w:right w:val="single" w:color="000000" w:sz="4"/>
            </w:tcBorders>
            <w:shd w:color="000000" w:fill="d9d9d9"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звітний період</w:t>
            </w:r>
          </w:p>
        </w:tc>
        <w:tc>
          <w:tcPr>
            <w:tcW w:w="1468" w:type="dxa"/>
            <w:tcBorders>
              <w:top w:val="single" w:color="000000" w:sz="4"/>
              <w:left w:val="single" w:color="000000" w:sz="4"/>
              <w:bottom w:val="single" w:color="000000" w:sz="6"/>
              <w:right w:val="single" w:color="000000" w:sz="4"/>
            </w:tcBorders>
            <w:shd w:color="000000" w:fill="d9d9d9"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аналогічний період попереднього року</w:t>
            </w:r>
          </w:p>
        </w:tc>
      </w:tr>
      <w:tr>
        <w:trPr>
          <w:trHeight w:val="1" w:hRule="atLeast"/>
          <w:jc w:val="left"/>
        </w:trPr>
        <w:tc>
          <w:tcPr>
            <w:tcW w:w="5625"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567"/>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w:t>
            </w:r>
          </w:p>
        </w:tc>
        <w:tc>
          <w:tcPr>
            <w:tcW w:w="802"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w:t>
            </w:r>
          </w:p>
        </w:tc>
        <w:tc>
          <w:tcPr>
            <w:tcW w:w="1470" w:type="dxa"/>
            <w:tcBorders>
              <w:top w:val="single" w:color="000000" w:sz="6"/>
              <w:left w:val="single" w:color="000000" w:sz="4"/>
              <w:bottom w:val="single" w:color="000000" w:sz="6"/>
              <w:right w:val="single" w:color="000000" w:sz="4"/>
            </w:tcBorders>
            <w:shd w:color="000000" w:fill="d9d9d9"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w:t>
            </w:r>
          </w:p>
        </w:tc>
        <w:tc>
          <w:tcPr>
            <w:tcW w:w="1468" w:type="dxa"/>
            <w:tcBorders>
              <w:top w:val="single" w:color="000000" w:sz="6"/>
              <w:left w:val="single" w:color="000000" w:sz="4"/>
              <w:bottom w:val="single" w:color="000000" w:sz="6"/>
              <w:right w:val="single" w:color="000000" w:sz="4"/>
            </w:tcBorders>
            <w:shd w:color="000000" w:fill="d9d9d9"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w:t>
            </w:r>
          </w:p>
        </w:tc>
      </w:tr>
      <w:tr>
        <w:trPr>
          <w:trHeight w:val="510" w:hRule="auto"/>
          <w:jc w:val="left"/>
        </w:trPr>
        <w:tc>
          <w:tcPr>
            <w:tcW w:w="5625"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Чистий дохід від реалізації продукції (товарів, робіт, послуг) </w:t>
            </w:r>
          </w:p>
        </w:tc>
        <w:tc>
          <w:tcPr>
            <w:tcW w:w="802"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2000</w:t>
            </w:r>
          </w:p>
        </w:tc>
        <w:tc>
          <w:tcPr>
            <w:tcW w:w="1470"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274 879</w:t>
            </w:r>
          </w:p>
        </w:tc>
        <w:tc>
          <w:tcPr>
            <w:tcW w:w="1468"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406 087</w:t>
            </w:r>
          </w:p>
        </w:tc>
      </w:tr>
      <w:tr>
        <w:trPr>
          <w:trHeight w:val="510"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Собівартість реалізованої продукції (товарів, робіт, послуг)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2050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(156 189)</w:t>
            </w: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(253 807)</w:t>
            </w:r>
          </w:p>
        </w:tc>
      </w:tr>
      <w:tr>
        <w:trPr>
          <w:trHeight w:val="510"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Валовий:</w:t>
            </w:r>
          </w:p>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   </w:t>
            </w:r>
            <w:r>
              <w:rPr>
                <w:rFonts w:ascii="Times New Roman" w:hAnsi="Times New Roman" w:cs="Times New Roman" w:eastAsia="Times New Roman"/>
                <w:b/>
                <w:color w:val="000000"/>
                <w:spacing w:val="0"/>
                <w:position w:val="0"/>
                <w:sz w:val="22"/>
                <w:u w:val="single"/>
                <w:shd w:fill="auto" w:val="clear"/>
              </w:rPr>
              <w:t xml:space="preserve">прибуток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2090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118 690</w:t>
            </w: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152 280</w:t>
            </w:r>
          </w:p>
        </w:tc>
      </w:tr>
      <w:tr>
        <w:trPr>
          <w:trHeight w:val="284"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w:t>
            </w:r>
            <w:r>
              <w:rPr>
                <w:rFonts w:ascii="Times New Roman" w:hAnsi="Times New Roman" w:cs="Times New Roman" w:eastAsia="Times New Roman"/>
                <w:color w:val="000000"/>
                <w:spacing w:val="0"/>
                <w:position w:val="0"/>
                <w:sz w:val="22"/>
                <w:u w:val="single"/>
                <w:shd w:fill="auto" w:val="clear"/>
              </w:rPr>
              <w:t xml:space="preserve">збиток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2095</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284"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операційні доходи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2120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6 383</w:t>
            </w: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84 717</w:t>
            </w:r>
          </w:p>
        </w:tc>
      </w:tr>
      <w:tr>
        <w:trPr>
          <w:trHeight w:val="284"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Адміністративні витрати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2130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(34 595)</w:t>
            </w: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(30 436)</w:t>
            </w:r>
          </w:p>
        </w:tc>
      </w:tr>
      <w:tr>
        <w:trPr>
          <w:trHeight w:val="284"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Витрати на збут</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2150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(72 031)</w:t>
            </w: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(95 502)</w:t>
            </w:r>
          </w:p>
        </w:tc>
      </w:tr>
      <w:tr>
        <w:trPr>
          <w:trHeight w:val="284"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операційні витрати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2180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(14 838)</w:t>
            </w: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(54 811)</w:t>
            </w:r>
          </w:p>
        </w:tc>
      </w:tr>
      <w:tr>
        <w:trPr>
          <w:trHeight w:val="1" w:hRule="atLeast"/>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Фінансовий результат від операційної діяльності:</w:t>
            </w:r>
          </w:p>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w:t>
            </w:r>
            <w:r>
              <w:rPr>
                <w:rFonts w:ascii="Times New Roman" w:hAnsi="Times New Roman" w:cs="Times New Roman" w:eastAsia="Times New Roman"/>
                <w:color w:val="000000"/>
                <w:spacing w:val="0"/>
                <w:position w:val="0"/>
                <w:sz w:val="22"/>
                <w:u w:val="single"/>
                <w:shd w:fill="auto" w:val="clear"/>
              </w:rPr>
              <w:t xml:space="preserve">прибуток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2190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3 609</w:t>
            </w: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56 248</w:t>
            </w:r>
          </w:p>
        </w:tc>
      </w:tr>
      <w:tr>
        <w:trPr>
          <w:trHeight w:val="284"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w:t>
            </w:r>
            <w:r>
              <w:rPr>
                <w:rFonts w:ascii="Times New Roman" w:hAnsi="Times New Roman" w:cs="Times New Roman" w:eastAsia="Times New Roman"/>
                <w:color w:val="000000"/>
                <w:spacing w:val="0"/>
                <w:position w:val="0"/>
                <w:sz w:val="22"/>
                <w:u w:val="single"/>
                <w:shd w:fill="auto" w:val="clear"/>
              </w:rPr>
              <w:t xml:space="preserve">збиток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2195</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284"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Дохід від участі в капіталі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2200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284"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фінансові доходи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2220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14 500</w:t>
            </w: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101</w:t>
            </w:r>
          </w:p>
        </w:tc>
      </w:tr>
      <w:tr>
        <w:trPr>
          <w:trHeight w:val="284"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доходи</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2240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169</w:t>
            </w: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1 133</w:t>
            </w:r>
          </w:p>
        </w:tc>
      </w:tr>
      <w:tr>
        <w:trPr>
          <w:trHeight w:val="284"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Фінансові витрати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2250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(20 111)</w:t>
            </w: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(17 677)</w:t>
            </w:r>
          </w:p>
        </w:tc>
      </w:tr>
      <w:tr>
        <w:trPr>
          <w:trHeight w:val="284"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Втрати від участі в капіталі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2255</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284"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витрати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2270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(74 999)</w:t>
            </w: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(769)</w:t>
            </w:r>
          </w:p>
        </w:tc>
      </w:tr>
      <w:tr>
        <w:trPr>
          <w:trHeight w:val="1" w:hRule="atLeast"/>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Фінансовий результат до оподаткування:</w:t>
            </w:r>
          </w:p>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w:t>
            </w:r>
            <w:r>
              <w:rPr>
                <w:rFonts w:ascii="Times New Roman" w:hAnsi="Times New Roman" w:cs="Times New Roman" w:eastAsia="Times New Roman"/>
                <w:color w:val="000000"/>
                <w:spacing w:val="0"/>
                <w:position w:val="0"/>
                <w:sz w:val="22"/>
                <w:u w:val="single"/>
                <w:shd w:fill="auto" w:val="clear"/>
              </w:rPr>
              <w:t xml:space="preserve">прибуток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2290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39 036</w:t>
            </w:r>
          </w:p>
        </w:tc>
      </w:tr>
      <w:tr>
        <w:trPr>
          <w:trHeight w:val="284"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w:t>
            </w:r>
            <w:r>
              <w:rPr>
                <w:rFonts w:ascii="Times New Roman" w:hAnsi="Times New Roman" w:cs="Times New Roman" w:eastAsia="Times New Roman"/>
                <w:color w:val="000000"/>
                <w:spacing w:val="0"/>
                <w:position w:val="0"/>
                <w:sz w:val="22"/>
                <w:u w:val="single"/>
                <w:shd w:fill="auto" w:val="clear"/>
              </w:rPr>
              <w:t xml:space="preserve">збиток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2295</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(76 832)</w:t>
            </w: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284"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Витрати (дохід) з податку на прибуток</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2300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13 874</w:t>
            </w: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(7 621)</w:t>
            </w:r>
          </w:p>
        </w:tc>
      </w:tr>
      <w:tr>
        <w:trPr>
          <w:trHeight w:val="1" w:hRule="atLeast"/>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Прибуток (збиток) від припиненої діяльності після оподаткування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2305</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Чистий фінансовий результат:</w:t>
            </w:r>
          </w:p>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w:t>
            </w:r>
            <w:r>
              <w:rPr>
                <w:rFonts w:ascii="Times New Roman" w:hAnsi="Times New Roman" w:cs="Times New Roman" w:eastAsia="Times New Roman"/>
                <w:color w:val="000000"/>
                <w:spacing w:val="0"/>
                <w:position w:val="0"/>
                <w:sz w:val="22"/>
                <w:u w:val="single"/>
                <w:shd w:fill="auto" w:val="clear"/>
              </w:rPr>
              <w:t xml:space="preserve">прибуток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2350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31 415</w:t>
            </w:r>
          </w:p>
        </w:tc>
      </w:tr>
      <w:tr>
        <w:trPr>
          <w:trHeight w:val="284" w:hRule="auto"/>
          <w:jc w:val="left"/>
        </w:trPr>
        <w:tc>
          <w:tcPr>
            <w:tcW w:w="56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w:t>
            </w:r>
            <w:r>
              <w:rPr>
                <w:rFonts w:ascii="Times New Roman" w:hAnsi="Times New Roman" w:cs="Times New Roman" w:eastAsia="Times New Roman"/>
                <w:color w:val="000000"/>
                <w:spacing w:val="0"/>
                <w:position w:val="0"/>
                <w:sz w:val="22"/>
                <w:u w:val="single"/>
                <w:shd w:fill="auto" w:val="clear"/>
              </w:rPr>
              <w:t xml:space="preserve">збиток </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2355</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(62 958)</w:t>
            </w:r>
          </w:p>
        </w:tc>
        <w:tc>
          <w:tcPr>
            <w:tcW w:w="14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0" w:firstLine="0"/>
        <w:jc w:val="both"/>
        <w:rPr>
          <w:rFonts w:ascii="Times New Roman" w:hAnsi="Times New Roman" w:cs="Times New Roman" w:eastAsia="Times New Roman"/>
          <w:color w:val="000000"/>
          <w:spacing w:val="0"/>
          <w:position w:val="0"/>
          <w:sz w:val="6"/>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r>
        <w:rPr>
          <w:rFonts w:ascii="Times New Roman" w:hAnsi="Times New Roman" w:cs="Times New Roman" w:eastAsia="Times New Roman"/>
          <w:color w:val="000000"/>
          <w:spacing w:val="0"/>
          <w:position w:val="0"/>
          <w:sz w:val="22"/>
          <w:u w:val="single"/>
          <w:shd w:fill="auto" w:val="clear"/>
        </w:rPr>
        <w:t xml:space="preserve">II. </w:t>
      </w:r>
      <w:r>
        <w:rPr>
          <w:rFonts w:ascii="Times New Roman" w:hAnsi="Times New Roman" w:cs="Times New Roman" w:eastAsia="Times New Roman"/>
          <w:color w:val="000000"/>
          <w:spacing w:val="0"/>
          <w:position w:val="0"/>
          <w:sz w:val="22"/>
          <w:u w:val="single"/>
          <w:shd w:fill="auto" w:val="clear"/>
        </w:rPr>
        <w:t xml:space="preserve">СУКУПНИЙ ДОХІД</w:t>
      </w:r>
    </w:p>
    <w:p>
      <w:pPr>
        <w:spacing w:before="0" w:after="0" w:line="240"/>
        <w:ind w:right="0" w:left="0" w:firstLine="0"/>
        <w:jc w:val="both"/>
        <w:rPr>
          <w:rFonts w:ascii="Times New Roman" w:hAnsi="Times New Roman" w:cs="Times New Roman" w:eastAsia="Times New Roman"/>
          <w:color w:val="000000"/>
          <w:spacing w:val="0"/>
          <w:position w:val="0"/>
          <w:sz w:val="6"/>
          <w:u w:val="single"/>
          <w:shd w:fill="auto" w:val="clear"/>
        </w:rPr>
      </w:pPr>
    </w:p>
    <w:tbl>
      <w:tblPr/>
      <w:tblGrid>
        <w:gridCol w:w="5620"/>
        <w:gridCol w:w="802"/>
        <w:gridCol w:w="1478"/>
        <w:gridCol w:w="1465"/>
      </w:tblGrid>
      <w:tr>
        <w:trPr>
          <w:trHeight w:val="1" w:hRule="atLeast"/>
          <w:jc w:val="left"/>
        </w:trPr>
        <w:tc>
          <w:tcPr>
            <w:tcW w:w="5620" w:type="dxa"/>
            <w:tcBorders>
              <w:top w:val="single" w:color="000000" w:sz="4"/>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567"/>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Стаття</w:t>
            </w:r>
          </w:p>
        </w:tc>
        <w:tc>
          <w:tcPr>
            <w:tcW w:w="802" w:type="dxa"/>
            <w:tcBorders>
              <w:top w:val="single" w:color="000000" w:sz="4"/>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Код рядка</w:t>
            </w:r>
          </w:p>
        </w:tc>
        <w:tc>
          <w:tcPr>
            <w:tcW w:w="1478" w:type="dxa"/>
            <w:tcBorders>
              <w:top w:val="single" w:color="000000" w:sz="4"/>
              <w:left w:val="single" w:color="000000" w:sz="4"/>
              <w:bottom w:val="single" w:color="000000" w:sz="6"/>
              <w:right w:val="single" w:color="000000" w:sz="4"/>
            </w:tcBorders>
            <w:shd w:color="000000" w:fill="d9d9d9"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звітний період</w:t>
            </w:r>
          </w:p>
        </w:tc>
        <w:tc>
          <w:tcPr>
            <w:tcW w:w="1465" w:type="dxa"/>
            <w:tcBorders>
              <w:top w:val="single" w:color="000000" w:sz="4"/>
              <w:left w:val="single" w:color="000000" w:sz="4"/>
              <w:bottom w:val="single" w:color="000000" w:sz="6"/>
              <w:right w:val="single" w:color="000000" w:sz="4"/>
            </w:tcBorders>
            <w:shd w:color="000000" w:fill="d9d9d9"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аналогічний період попереднього року</w:t>
            </w:r>
          </w:p>
        </w:tc>
      </w:tr>
      <w:tr>
        <w:trPr>
          <w:trHeight w:val="1" w:hRule="atLeast"/>
          <w:jc w:val="left"/>
        </w:trPr>
        <w:tc>
          <w:tcPr>
            <w:tcW w:w="5620"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567"/>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w:t>
            </w:r>
          </w:p>
        </w:tc>
        <w:tc>
          <w:tcPr>
            <w:tcW w:w="802"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w:t>
            </w:r>
          </w:p>
        </w:tc>
        <w:tc>
          <w:tcPr>
            <w:tcW w:w="1478" w:type="dxa"/>
            <w:tcBorders>
              <w:top w:val="single" w:color="000000" w:sz="6"/>
              <w:left w:val="single" w:color="000000" w:sz="4"/>
              <w:bottom w:val="single" w:color="000000" w:sz="6"/>
              <w:right w:val="single" w:color="000000" w:sz="4"/>
            </w:tcBorders>
            <w:shd w:color="000000" w:fill="d9d9d9"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w:t>
            </w:r>
          </w:p>
        </w:tc>
        <w:tc>
          <w:tcPr>
            <w:tcW w:w="1465" w:type="dxa"/>
            <w:tcBorders>
              <w:top w:val="single" w:color="000000" w:sz="6"/>
              <w:left w:val="single" w:color="000000" w:sz="4"/>
              <w:bottom w:val="single" w:color="000000" w:sz="6"/>
              <w:right w:val="single" w:color="000000" w:sz="4"/>
            </w:tcBorders>
            <w:shd w:color="000000" w:fill="d9d9d9"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w:t>
            </w:r>
          </w:p>
        </w:tc>
      </w:tr>
      <w:tr>
        <w:trPr>
          <w:trHeight w:val="284" w:hRule="auto"/>
          <w:jc w:val="left"/>
        </w:trPr>
        <w:tc>
          <w:tcPr>
            <w:tcW w:w="5620"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Дооцінка (уцінка) необоротних активів</w:t>
            </w:r>
          </w:p>
        </w:tc>
        <w:tc>
          <w:tcPr>
            <w:tcW w:w="802"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2400</w:t>
            </w:r>
          </w:p>
        </w:tc>
        <w:tc>
          <w:tcPr>
            <w:tcW w:w="1478"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rFonts w:ascii="Calibri" w:hAnsi="Calibri" w:cs="Calibri" w:eastAsia="Calibri"/>
                <w:color w:val="auto"/>
                <w:spacing w:val="0"/>
                <w:position w:val="0"/>
                <w:sz w:val="22"/>
                <w:shd w:fill="auto" w:val="clear"/>
              </w:rPr>
            </w:pPr>
          </w:p>
        </w:tc>
        <w:tc>
          <w:tcPr>
            <w:tcW w:w="1465"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rFonts w:ascii="Calibri" w:hAnsi="Calibri" w:cs="Calibri" w:eastAsia="Calibri"/>
                <w:color w:val="auto"/>
                <w:spacing w:val="0"/>
                <w:position w:val="0"/>
                <w:sz w:val="22"/>
                <w:shd w:fill="auto" w:val="clear"/>
              </w:rPr>
            </w:pPr>
          </w:p>
        </w:tc>
      </w:tr>
      <w:tr>
        <w:trPr>
          <w:trHeight w:val="284" w:hRule="auto"/>
          <w:jc w:val="left"/>
        </w:trPr>
        <w:tc>
          <w:tcPr>
            <w:tcW w:w="56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Дооцінка (уцінка) фінансових інструментів</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2405</w:t>
            </w:r>
          </w:p>
        </w:tc>
        <w:tc>
          <w:tcPr>
            <w:tcW w:w="147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rFonts w:ascii="Calibri" w:hAnsi="Calibri" w:cs="Calibri" w:eastAsia="Calibri"/>
                <w:color w:val="auto"/>
                <w:spacing w:val="0"/>
                <w:position w:val="0"/>
                <w:sz w:val="22"/>
                <w:shd w:fill="auto" w:val="clear"/>
              </w:rPr>
            </w:pPr>
          </w:p>
        </w:tc>
        <w:tc>
          <w:tcPr>
            <w:tcW w:w="146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rFonts w:ascii="Calibri" w:hAnsi="Calibri" w:cs="Calibri" w:eastAsia="Calibri"/>
                <w:color w:val="auto"/>
                <w:spacing w:val="0"/>
                <w:position w:val="0"/>
                <w:sz w:val="22"/>
                <w:shd w:fill="auto" w:val="clear"/>
              </w:rPr>
            </w:pPr>
          </w:p>
        </w:tc>
      </w:tr>
      <w:tr>
        <w:trPr>
          <w:trHeight w:val="284" w:hRule="auto"/>
          <w:jc w:val="left"/>
        </w:trPr>
        <w:tc>
          <w:tcPr>
            <w:tcW w:w="56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Накопичені курсові різниці</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2410</w:t>
            </w:r>
          </w:p>
        </w:tc>
        <w:tc>
          <w:tcPr>
            <w:tcW w:w="147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rFonts w:ascii="Calibri" w:hAnsi="Calibri" w:cs="Calibri" w:eastAsia="Calibri"/>
                <w:color w:val="auto"/>
                <w:spacing w:val="0"/>
                <w:position w:val="0"/>
                <w:sz w:val="22"/>
                <w:shd w:fill="auto" w:val="clear"/>
              </w:rPr>
            </w:pPr>
          </w:p>
        </w:tc>
        <w:tc>
          <w:tcPr>
            <w:tcW w:w="146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rFonts w:ascii="Calibri" w:hAnsi="Calibri" w:cs="Calibri" w:eastAsia="Calibri"/>
                <w:color w:val="auto"/>
                <w:spacing w:val="0"/>
                <w:position w:val="0"/>
                <w:sz w:val="22"/>
                <w:shd w:fill="auto" w:val="clear"/>
              </w:rPr>
            </w:pPr>
          </w:p>
        </w:tc>
      </w:tr>
      <w:tr>
        <w:trPr>
          <w:trHeight w:val="284" w:hRule="auto"/>
          <w:jc w:val="left"/>
        </w:trPr>
        <w:tc>
          <w:tcPr>
            <w:tcW w:w="56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Частка іншого сукупного доходу асоційованих та спільних підприємств</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2415</w:t>
            </w:r>
          </w:p>
        </w:tc>
        <w:tc>
          <w:tcPr>
            <w:tcW w:w="147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rFonts w:ascii="Calibri" w:hAnsi="Calibri" w:cs="Calibri" w:eastAsia="Calibri"/>
                <w:color w:val="auto"/>
                <w:spacing w:val="0"/>
                <w:position w:val="0"/>
                <w:sz w:val="22"/>
                <w:shd w:fill="auto" w:val="clear"/>
              </w:rPr>
            </w:pPr>
          </w:p>
        </w:tc>
        <w:tc>
          <w:tcPr>
            <w:tcW w:w="146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rFonts w:ascii="Calibri" w:hAnsi="Calibri" w:cs="Calibri" w:eastAsia="Calibri"/>
                <w:color w:val="auto"/>
                <w:spacing w:val="0"/>
                <w:position w:val="0"/>
                <w:sz w:val="22"/>
                <w:shd w:fill="auto" w:val="clear"/>
              </w:rPr>
            </w:pPr>
          </w:p>
        </w:tc>
      </w:tr>
      <w:tr>
        <w:trPr>
          <w:trHeight w:val="284" w:hRule="auto"/>
          <w:jc w:val="left"/>
        </w:trPr>
        <w:tc>
          <w:tcPr>
            <w:tcW w:w="56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Інший сукупний дохід</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2445</w:t>
            </w:r>
          </w:p>
        </w:tc>
        <w:tc>
          <w:tcPr>
            <w:tcW w:w="147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rFonts w:ascii="Calibri" w:hAnsi="Calibri" w:cs="Calibri" w:eastAsia="Calibri"/>
                <w:color w:val="auto"/>
                <w:spacing w:val="0"/>
                <w:position w:val="0"/>
                <w:sz w:val="22"/>
                <w:shd w:fill="auto" w:val="clear"/>
              </w:rPr>
            </w:pPr>
          </w:p>
        </w:tc>
        <w:tc>
          <w:tcPr>
            <w:tcW w:w="146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rFonts w:ascii="Calibri" w:hAnsi="Calibri" w:cs="Calibri" w:eastAsia="Calibri"/>
                <w:color w:val="auto"/>
                <w:spacing w:val="0"/>
                <w:position w:val="0"/>
                <w:sz w:val="22"/>
                <w:shd w:fill="auto" w:val="clear"/>
              </w:rPr>
            </w:pPr>
          </w:p>
        </w:tc>
      </w:tr>
      <w:tr>
        <w:trPr>
          <w:trHeight w:val="284" w:hRule="auto"/>
          <w:jc w:val="left"/>
        </w:trPr>
        <w:tc>
          <w:tcPr>
            <w:tcW w:w="56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Інший сукупний дохід до оподаткування</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2450</w:t>
            </w:r>
          </w:p>
        </w:tc>
        <w:tc>
          <w:tcPr>
            <w:tcW w:w="147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rFonts w:ascii="Calibri" w:hAnsi="Calibri" w:cs="Calibri" w:eastAsia="Calibri"/>
                <w:color w:val="auto"/>
                <w:spacing w:val="0"/>
                <w:position w:val="0"/>
                <w:sz w:val="22"/>
                <w:shd w:fill="auto" w:val="clear"/>
              </w:rPr>
            </w:pPr>
          </w:p>
        </w:tc>
        <w:tc>
          <w:tcPr>
            <w:tcW w:w="146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rFonts w:ascii="Calibri" w:hAnsi="Calibri" w:cs="Calibri" w:eastAsia="Calibri"/>
                <w:color w:val="auto"/>
                <w:spacing w:val="0"/>
                <w:position w:val="0"/>
                <w:sz w:val="22"/>
                <w:shd w:fill="auto" w:val="clear"/>
              </w:rPr>
            </w:pPr>
          </w:p>
        </w:tc>
      </w:tr>
      <w:tr>
        <w:trPr>
          <w:trHeight w:val="284" w:hRule="auto"/>
          <w:jc w:val="left"/>
        </w:trPr>
        <w:tc>
          <w:tcPr>
            <w:tcW w:w="56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Податок на прибуток, пов’язаний з іншим сукупним доходом</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2455</w:t>
            </w:r>
          </w:p>
        </w:tc>
        <w:tc>
          <w:tcPr>
            <w:tcW w:w="147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rFonts w:ascii="Calibri" w:hAnsi="Calibri" w:cs="Calibri" w:eastAsia="Calibri"/>
                <w:color w:val="auto"/>
                <w:spacing w:val="0"/>
                <w:position w:val="0"/>
                <w:sz w:val="22"/>
                <w:shd w:fill="auto" w:val="clear"/>
              </w:rPr>
            </w:pPr>
          </w:p>
        </w:tc>
        <w:tc>
          <w:tcPr>
            <w:tcW w:w="146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rFonts w:ascii="Calibri" w:hAnsi="Calibri" w:cs="Calibri" w:eastAsia="Calibri"/>
                <w:color w:val="auto"/>
                <w:spacing w:val="0"/>
                <w:position w:val="0"/>
                <w:sz w:val="22"/>
                <w:shd w:fill="auto" w:val="clear"/>
              </w:rPr>
            </w:pPr>
          </w:p>
        </w:tc>
      </w:tr>
      <w:tr>
        <w:trPr>
          <w:trHeight w:val="284" w:hRule="auto"/>
          <w:jc w:val="left"/>
        </w:trPr>
        <w:tc>
          <w:tcPr>
            <w:tcW w:w="56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Інший сукупний дохід після оподаткування</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2460</w:t>
            </w:r>
          </w:p>
        </w:tc>
        <w:tc>
          <w:tcPr>
            <w:tcW w:w="147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rFonts w:ascii="Calibri" w:hAnsi="Calibri" w:cs="Calibri" w:eastAsia="Calibri"/>
                <w:color w:val="auto"/>
                <w:spacing w:val="0"/>
                <w:position w:val="0"/>
                <w:sz w:val="22"/>
                <w:shd w:fill="auto" w:val="clear"/>
              </w:rPr>
            </w:pPr>
          </w:p>
        </w:tc>
        <w:tc>
          <w:tcPr>
            <w:tcW w:w="146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rFonts w:ascii="Calibri" w:hAnsi="Calibri" w:cs="Calibri" w:eastAsia="Calibri"/>
                <w:color w:val="auto"/>
                <w:spacing w:val="0"/>
                <w:position w:val="0"/>
                <w:sz w:val="22"/>
                <w:shd w:fill="auto" w:val="clear"/>
              </w:rPr>
            </w:pPr>
          </w:p>
        </w:tc>
      </w:tr>
      <w:tr>
        <w:trPr>
          <w:trHeight w:val="284" w:hRule="auto"/>
          <w:jc w:val="left"/>
        </w:trPr>
        <w:tc>
          <w:tcPr>
            <w:tcW w:w="56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Сукупний дохід (сума рядків 2350, 2355 та 2460)</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2465</w:t>
            </w:r>
          </w:p>
        </w:tc>
        <w:tc>
          <w:tcPr>
            <w:tcW w:w="147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(62 958)</w:t>
            </w:r>
          </w:p>
        </w:tc>
        <w:tc>
          <w:tcPr>
            <w:tcW w:w="146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31 415</w:t>
            </w:r>
          </w:p>
        </w:tc>
      </w:tr>
    </w:tbl>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r>
        <w:rPr>
          <w:rFonts w:ascii="Times New Roman" w:hAnsi="Times New Roman" w:cs="Times New Roman" w:eastAsia="Times New Roman"/>
          <w:color w:val="000000"/>
          <w:spacing w:val="0"/>
          <w:position w:val="0"/>
          <w:sz w:val="22"/>
          <w:u w:val="single"/>
          <w:shd w:fill="auto" w:val="clear"/>
        </w:rPr>
        <w:t xml:space="preserve">III. </w:t>
      </w:r>
      <w:r>
        <w:rPr>
          <w:rFonts w:ascii="Times New Roman" w:hAnsi="Times New Roman" w:cs="Times New Roman" w:eastAsia="Times New Roman"/>
          <w:color w:val="000000"/>
          <w:spacing w:val="0"/>
          <w:position w:val="0"/>
          <w:sz w:val="22"/>
          <w:u w:val="single"/>
          <w:shd w:fill="auto" w:val="clear"/>
        </w:rPr>
        <w:t xml:space="preserve">ЕЛЕМЕНТИ ОПЕРАЦІЙНИХ ВИТРАТ</w:t>
      </w:r>
    </w:p>
    <w:p>
      <w:pPr>
        <w:spacing w:before="0" w:after="0" w:line="240"/>
        <w:ind w:right="0" w:left="0" w:firstLine="0"/>
        <w:jc w:val="both"/>
        <w:rPr>
          <w:rFonts w:ascii="Times New Roman" w:hAnsi="Times New Roman" w:cs="Times New Roman" w:eastAsia="Times New Roman"/>
          <w:color w:val="000000"/>
          <w:spacing w:val="0"/>
          <w:position w:val="0"/>
          <w:sz w:val="6"/>
          <w:u w:val="single"/>
          <w:shd w:fill="auto" w:val="clear"/>
        </w:rPr>
      </w:pPr>
    </w:p>
    <w:tbl>
      <w:tblPr/>
      <w:tblGrid>
        <w:gridCol w:w="5621"/>
        <w:gridCol w:w="802"/>
        <w:gridCol w:w="1470"/>
        <w:gridCol w:w="1472"/>
      </w:tblGrid>
      <w:tr>
        <w:trPr>
          <w:trHeight w:val="1" w:hRule="atLeast"/>
          <w:jc w:val="left"/>
        </w:trPr>
        <w:tc>
          <w:tcPr>
            <w:tcW w:w="5621" w:type="dxa"/>
            <w:tcBorders>
              <w:top w:val="single" w:color="000000" w:sz="4"/>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567"/>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Стаття</w:t>
            </w:r>
          </w:p>
        </w:tc>
        <w:tc>
          <w:tcPr>
            <w:tcW w:w="802" w:type="dxa"/>
            <w:tcBorders>
              <w:top w:val="single" w:color="000000" w:sz="4"/>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Код рядка</w:t>
            </w:r>
          </w:p>
        </w:tc>
        <w:tc>
          <w:tcPr>
            <w:tcW w:w="1470" w:type="dxa"/>
            <w:tcBorders>
              <w:top w:val="single" w:color="000000" w:sz="4"/>
              <w:left w:val="single" w:color="000000" w:sz="4"/>
              <w:bottom w:val="single" w:color="000000" w:sz="6"/>
              <w:right w:val="single" w:color="000000" w:sz="4"/>
            </w:tcBorders>
            <w:shd w:color="000000" w:fill="d9d9d9"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звітний період</w:t>
            </w:r>
          </w:p>
        </w:tc>
        <w:tc>
          <w:tcPr>
            <w:tcW w:w="1472" w:type="dxa"/>
            <w:tcBorders>
              <w:top w:val="single" w:color="000000" w:sz="4"/>
              <w:left w:val="single" w:color="000000" w:sz="4"/>
              <w:bottom w:val="single" w:color="000000" w:sz="6"/>
              <w:right w:val="single" w:color="000000" w:sz="4"/>
            </w:tcBorders>
            <w:shd w:color="000000" w:fill="d9d9d9"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аналогічний період попереднього року</w:t>
            </w:r>
          </w:p>
        </w:tc>
      </w:tr>
      <w:tr>
        <w:trPr>
          <w:trHeight w:val="1" w:hRule="atLeast"/>
          <w:jc w:val="left"/>
        </w:trPr>
        <w:tc>
          <w:tcPr>
            <w:tcW w:w="5621"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567"/>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w:t>
            </w:r>
          </w:p>
        </w:tc>
        <w:tc>
          <w:tcPr>
            <w:tcW w:w="802"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w:t>
            </w:r>
          </w:p>
        </w:tc>
        <w:tc>
          <w:tcPr>
            <w:tcW w:w="1470" w:type="dxa"/>
            <w:tcBorders>
              <w:top w:val="single" w:color="000000" w:sz="6"/>
              <w:left w:val="single" w:color="000000" w:sz="4"/>
              <w:bottom w:val="single" w:color="000000" w:sz="6"/>
              <w:right w:val="single" w:color="000000" w:sz="4"/>
            </w:tcBorders>
            <w:shd w:color="000000" w:fill="d9d9d9"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w:t>
            </w:r>
          </w:p>
        </w:tc>
        <w:tc>
          <w:tcPr>
            <w:tcW w:w="1472" w:type="dxa"/>
            <w:tcBorders>
              <w:top w:val="single" w:color="000000" w:sz="6"/>
              <w:left w:val="single" w:color="000000" w:sz="4"/>
              <w:bottom w:val="single" w:color="000000" w:sz="6"/>
              <w:right w:val="single" w:color="000000" w:sz="4"/>
            </w:tcBorders>
            <w:shd w:color="000000" w:fill="d9d9d9"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w:t>
            </w:r>
          </w:p>
        </w:tc>
      </w:tr>
      <w:tr>
        <w:trPr>
          <w:trHeight w:val="284" w:hRule="auto"/>
          <w:jc w:val="left"/>
        </w:trPr>
        <w:tc>
          <w:tcPr>
            <w:tcW w:w="5621" w:type="dxa"/>
            <w:tcBorders>
              <w:top w:val="single" w:color="000000" w:sz="6"/>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Матеріальні затрати</w:t>
            </w:r>
          </w:p>
        </w:tc>
        <w:tc>
          <w:tcPr>
            <w:tcW w:w="802" w:type="dxa"/>
            <w:tcBorders>
              <w:top w:val="single" w:color="000000" w:sz="6"/>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2500</w:t>
            </w:r>
          </w:p>
        </w:tc>
        <w:tc>
          <w:tcPr>
            <w:tcW w:w="1470"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102 886</w:t>
            </w:r>
          </w:p>
        </w:tc>
        <w:tc>
          <w:tcPr>
            <w:tcW w:w="1472"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196 296</w:t>
            </w:r>
          </w:p>
        </w:tc>
      </w:tr>
      <w:tr>
        <w:trPr>
          <w:trHeight w:val="284" w:hRule="auto"/>
          <w:jc w:val="left"/>
        </w:trPr>
        <w:tc>
          <w:tcPr>
            <w:tcW w:w="5621"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Витрати на оплату праці</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2505</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48 363</w:t>
            </w:r>
          </w:p>
        </w:tc>
        <w:tc>
          <w:tcPr>
            <w:tcW w:w="147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47 740</w:t>
            </w:r>
          </w:p>
        </w:tc>
      </w:tr>
      <w:tr>
        <w:trPr>
          <w:trHeight w:val="284" w:hRule="auto"/>
          <w:jc w:val="left"/>
        </w:trPr>
        <w:tc>
          <w:tcPr>
            <w:tcW w:w="5621"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Відрахування на соціальні заходи</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2510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9 983</w:t>
            </w:r>
          </w:p>
        </w:tc>
        <w:tc>
          <w:tcPr>
            <w:tcW w:w="147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8 426</w:t>
            </w:r>
          </w:p>
        </w:tc>
      </w:tr>
      <w:tr>
        <w:trPr>
          <w:trHeight w:val="284" w:hRule="auto"/>
          <w:jc w:val="left"/>
        </w:trPr>
        <w:tc>
          <w:tcPr>
            <w:tcW w:w="5621"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Амортизація</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2515</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19 975</w:t>
            </w:r>
          </w:p>
        </w:tc>
        <w:tc>
          <w:tcPr>
            <w:tcW w:w="147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17 868</w:t>
            </w:r>
          </w:p>
        </w:tc>
      </w:tr>
      <w:tr>
        <w:trPr>
          <w:trHeight w:val="284" w:hRule="auto"/>
          <w:jc w:val="left"/>
        </w:trPr>
        <w:tc>
          <w:tcPr>
            <w:tcW w:w="5621"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операційні витрати</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2520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132 176</w:t>
            </w:r>
          </w:p>
        </w:tc>
        <w:tc>
          <w:tcPr>
            <w:tcW w:w="147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180 636</w:t>
            </w:r>
          </w:p>
        </w:tc>
      </w:tr>
      <w:tr>
        <w:trPr>
          <w:trHeight w:val="284" w:hRule="auto"/>
          <w:jc w:val="left"/>
        </w:trPr>
        <w:tc>
          <w:tcPr>
            <w:tcW w:w="5621"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2550</w:t>
            </w:r>
          </w:p>
        </w:tc>
        <w:tc>
          <w:tcPr>
            <w:tcW w:w="14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313 383</w:t>
            </w:r>
          </w:p>
        </w:tc>
        <w:tc>
          <w:tcPr>
            <w:tcW w:w="147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450 966</w:t>
            </w:r>
          </w:p>
        </w:tc>
      </w:tr>
    </w:tbl>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r>
        <w:rPr>
          <w:rFonts w:ascii="Times New Roman" w:hAnsi="Times New Roman" w:cs="Times New Roman" w:eastAsia="Times New Roman"/>
          <w:color w:val="000000"/>
          <w:spacing w:val="0"/>
          <w:position w:val="0"/>
          <w:sz w:val="22"/>
          <w:u w:val="single"/>
          <w:shd w:fill="auto" w:val="clear"/>
        </w:rPr>
        <w:t xml:space="preserve">ІV. РОЗРАХУНОК ПОКАЗНИКІВ ПРИБУТКОВОСТІ АКЦІЙ</w:t>
      </w:r>
    </w:p>
    <w:p>
      <w:pPr>
        <w:spacing w:before="0" w:after="0" w:line="240"/>
        <w:ind w:right="0" w:left="0" w:firstLine="0"/>
        <w:jc w:val="both"/>
        <w:rPr>
          <w:rFonts w:ascii="Times New Roman" w:hAnsi="Times New Roman" w:cs="Times New Roman" w:eastAsia="Times New Roman"/>
          <w:color w:val="000000"/>
          <w:spacing w:val="0"/>
          <w:position w:val="0"/>
          <w:sz w:val="6"/>
          <w:u w:val="single"/>
          <w:shd w:fill="auto" w:val="clear"/>
        </w:rPr>
      </w:pPr>
    </w:p>
    <w:tbl>
      <w:tblPr/>
      <w:tblGrid>
        <w:gridCol w:w="5619"/>
        <w:gridCol w:w="802"/>
        <w:gridCol w:w="1472"/>
        <w:gridCol w:w="1459"/>
      </w:tblGrid>
      <w:tr>
        <w:trPr>
          <w:trHeight w:val="1" w:hRule="atLeast"/>
          <w:jc w:val="left"/>
        </w:trPr>
        <w:tc>
          <w:tcPr>
            <w:tcW w:w="5619" w:type="dxa"/>
            <w:tcBorders>
              <w:top w:val="single" w:color="000000" w:sz="4"/>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567"/>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Стаття</w:t>
            </w:r>
          </w:p>
        </w:tc>
        <w:tc>
          <w:tcPr>
            <w:tcW w:w="802" w:type="dxa"/>
            <w:tcBorders>
              <w:top w:val="single" w:color="000000" w:sz="4"/>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Код рядка</w:t>
            </w:r>
          </w:p>
        </w:tc>
        <w:tc>
          <w:tcPr>
            <w:tcW w:w="1472" w:type="dxa"/>
            <w:tcBorders>
              <w:top w:val="single" w:color="000000" w:sz="4"/>
              <w:left w:val="single" w:color="000000" w:sz="4"/>
              <w:bottom w:val="single" w:color="000000" w:sz="6"/>
              <w:right w:val="single" w:color="000000" w:sz="4"/>
            </w:tcBorders>
            <w:shd w:color="000000" w:fill="d9d9d9"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звітний період</w:t>
            </w:r>
          </w:p>
        </w:tc>
        <w:tc>
          <w:tcPr>
            <w:tcW w:w="1459" w:type="dxa"/>
            <w:tcBorders>
              <w:top w:val="single" w:color="000000" w:sz="4"/>
              <w:left w:val="single" w:color="000000" w:sz="4"/>
              <w:bottom w:val="single" w:color="000000" w:sz="6"/>
              <w:right w:val="single" w:color="000000" w:sz="4"/>
            </w:tcBorders>
            <w:shd w:color="000000" w:fill="d9d9d9"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аналогічний період попереднього року</w:t>
            </w:r>
          </w:p>
        </w:tc>
      </w:tr>
      <w:tr>
        <w:trPr>
          <w:trHeight w:val="284" w:hRule="auto"/>
          <w:jc w:val="left"/>
        </w:trPr>
        <w:tc>
          <w:tcPr>
            <w:tcW w:w="5619"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567"/>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w:t>
            </w:r>
          </w:p>
        </w:tc>
        <w:tc>
          <w:tcPr>
            <w:tcW w:w="802"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w:t>
            </w:r>
          </w:p>
        </w:tc>
        <w:tc>
          <w:tcPr>
            <w:tcW w:w="1472" w:type="dxa"/>
            <w:tcBorders>
              <w:top w:val="single" w:color="000000" w:sz="6"/>
              <w:left w:val="single" w:color="000000" w:sz="4"/>
              <w:bottom w:val="single" w:color="000000" w:sz="6"/>
              <w:right w:val="single" w:color="000000" w:sz="4"/>
            </w:tcBorders>
            <w:shd w:color="000000" w:fill="d9d9d9"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w:t>
            </w:r>
          </w:p>
        </w:tc>
        <w:tc>
          <w:tcPr>
            <w:tcW w:w="1459" w:type="dxa"/>
            <w:tcBorders>
              <w:top w:val="single" w:color="000000" w:sz="6"/>
              <w:left w:val="single" w:color="000000" w:sz="4"/>
              <w:bottom w:val="single" w:color="000000" w:sz="6"/>
              <w:right w:val="single" w:color="000000" w:sz="4"/>
            </w:tcBorders>
            <w:shd w:color="000000" w:fill="d9d9d9"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w:t>
            </w:r>
          </w:p>
        </w:tc>
      </w:tr>
      <w:tr>
        <w:trPr>
          <w:trHeight w:val="284" w:hRule="auto"/>
          <w:jc w:val="left"/>
        </w:trPr>
        <w:tc>
          <w:tcPr>
            <w:tcW w:w="5619"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Середньорічна кількість простих акцій</w:t>
            </w:r>
          </w:p>
        </w:tc>
        <w:tc>
          <w:tcPr>
            <w:tcW w:w="802"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2600</w:t>
            </w:r>
          </w:p>
        </w:tc>
        <w:tc>
          <w:tcPr>
            <w:tcW w:w="1472"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23642143</w:t>
            </w:r>
          </w:p>
        </w:tc>
        <w:tc>
          <w:tcPr>
            <w:tcW w:w="1459"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23642143</w:t>
            </w:r>
          </w:p>
        </w:tc>
      </w:tr>
      <w:tr>
        <w:trPr>
          <w:trHeight w:val="284" w:hRule="auto"/>
          <w:jc w:val="left"/>
        </w:trPr>
        <w:tc>
          <w:tcPr>
            <w:tcW w:w="561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Скоригована середньорічна кількість простих акцій</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2605</w:t>
            </w:r>
          </w:p>
        </w:tc>
        <w:tc>
          <w:tcPr>
            <w:tcW w:w="147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23642143</w:t>
            </w:r>
          </w:p>
        </w:tc>
        <w:tc>
          <w:tcPr>
            <w:tcW w:w="145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23642143</w:t>
            </w:r>
          </w:p>
        </w:tc>
      </w:tr>
      <w:tr>
        <w:trPr>
          <w:trHeight w:val="284" w:hRule="auto"/>
          <w:jc w:val="left"/>
        </w:trPr>
        <w:tc>
          <w:tcPr>
            <w:tcW w:w="561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Чистий прибуток (збиток) на одну просту акцію</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2610</w:t>
            </w:r>
          </w:p>
        </w:tc>
        <w:tc>
          <w:tcPr>
            <w:tcW w:w="147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(2,66296)</w:t>
            </w:r>
          </w:p>
        </w:tc>
        <w:tc>
          <w:tcPr>
            <w:tcW w:w="145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1,32877</w:t>
            </w:r>
          </w:p>
        </w:tc>
      </w:tr>
      <w:tr>
        <w:trPr>
          <w:trHeight w:val="284" w:hRule="auto"/>
          <w:jc w:val="left"/>
        </w:trPr>
        <w:tc>
          <w:tcPr>
            <w:tcW w:w="561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Скоригований чистий прибуток (збиток) на одну просту акцію</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2615</w:t>
            </w:r>
          </w:p>
        </w:tc>
        <w:tc>
          <w:tcPr>
            <w:tcW w:w="147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(2,66296)</w:t>
            </w:r>
          </w:p>
        </w:tc>
        <w:tc>
          <w:tcPr>
            <w:tcW w:w="145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1,32877</w:t>
            </w:r>
          </w:p>
        </w:tc>
      </w:tr>
      <w:tr>
        <w:trPr>
          <w:trHeight w:val="284" w:hRule="auto"/>
          <w:jc w:val="left"/>
        </w:trPr>
        <w:tc>
          <w:tcPr>
            <w:tcW w:w="561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Дивіденди на одну просту акцію</w:t>
            </w:r>
          </w:p>
        </w:tc>
        <w:tc>
          <w:tcPr>
            <w:tcW w:w="8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2650</w:t>
            </w:r>
          </w:p>
        </w:tc>
        <w:tc>
          <w:tcPr>
            <w:tcW w:w="147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w:t>
            </w:r>
          </w:p>
        </w:tc>
        <w:tc>
          <w:tcPr>
            <w:tcW w:w="145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w:t>
            </w:r>
          </w:p>
        </w:tc>
      </w:tr>
    </w:tbl>
    <w:p>
      <w:pPr>
        <w:spacing w:before="0" w:after="0" w:line="240"/>
        <w:ind w:right="0" w:left="0" w:firstLine="0"/>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2"/>
          <w:u w:val="single"/>
          <w:shd w:fill="auto" w:val="clear"/>
        </w:rPr>
      </w:pPr>
    </w:p>
    <w:tbl>
      <w:tblPr/>
      <w:tblGrid>
        <w:gridCol w:w="5637"/>
        <w:gridCol w:w="3934"/>
      </w:tblGrid>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Голова Правління</w:t>
            </w: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Літвін Денис Васильович</w:t>
            </w:r>
          </w:p>
        </w:tc>
      </w:tr>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0"/>
              <w:jc w:val="both"/>
              <w:rPr>
                <w:spacing w:val="0"/>
                <w:position w:val="0"/>
                <w:sz w:val="22"/>
              </w:rPr>
            </w:pP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Головний бухгалтер</w:t>
            </w: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Майборода Лариса Іванівна</w:t>
            </w:r>
          </w:p>
        </w:tc>
      </w:tr>
    </w:tbl>
    <w:p>
      <w:pPr>
        <w:spacing w:before="0" w:after="0" w:line="240"/>
        <w:ind w:right="0" w:left="0" w:firstLine="0"/>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2"/>
          <w:u w:val="single"/>
          <w:shd w:fill="auto" w:val="clear"/>
        </w:rPr>
      </w:pPr>
    </w:p>
    <w:p>
      <w:pPr>
        <w:numPr>
          <w:ilvl w:val="0"/>
          <w:numId w:val="651"/>
        </w:numPr>
        <w:spacing w:before="0" w:after="0" w:line="240"/>
        <w:ind w:right="0" w:left="1872" w:hanging="431"/>
        <w:jc w:val="both"/>
        <w:rPr>
          <w:rFonts w:ascii="Times New Roman" w:hAnsi="Times New Roman" w:cs="Times New Roman" w:eastAsia="Times New Roman"/>
          <w:color w:val="000000"/>
          <w:spacing w:val="0"/>
          <w:position w:val="0"/>
          <w:sz w:val="22"/>
          <w:u w:val="single"/>
          <w:shd w:fill="auto" w:val="clear"/>
        </w:rPr>
      </w:pPr>
    </w:p>
    <w:tbl>
      <w:tblPr/>
      <w:tblGrid>
        <w:gridCol w:w="1334"/>
        <w:gridCol w:w="5748"/>
        <w:gridCol w:w="1088"/>
        <w:gridCol w:w="450"/>
        <w:gridCol w:w="300"/>
        <w:gridCol w:w="440"/>
      </w:tblGrid>
      <w:tr>
        <w:trPr>
          <w:trHeight w:val="1" w:hRule="atLeast"/>
          <w:jc w:val="left"/>
        </w:trPr>
        <w:tc>
          <w:tcPr>
            <w:tcW w:w="8170" w:type="dxa"/>
            <w:gridSpan w:val="3"/>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90"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КОДИ</w:t>
            </w:r>
          </w:p>
        </w:tc>
      </w:tr>
      <w:tr>
        <w:trPr>
          <w:trHeight w:val="1" w:hRule="atLeast"/>
          <w:jc w:val="left"/>
        </w:trPr>
        <w:tc>
          <w:tcPr>
            <w:tcW w:w="8170" w:type="dxa"/>
            <w:gridSpan w:val="3"/>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Дата (рік, місяць, число)</w:t>
            </w:r>
          </w:p>
        </w:tc>
        <w:tc>
          <w:tcPr>
            <w:tcW w:w="45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2021</w:t>
            </w:r>
          </w:p>
        </w:tc>
        <w:tc>
          <w:tcPr>
            <w:tcW w:w="30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01</w:t>
            </w:r>
          </w:p>
        </w:tc>
        <w:tc>
          <w:tcPr>
            <w:tcW w:w="44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01</w:t>
            </w:r>
          </w:p>
        </w:tc>
      </w:tr>
      <w:tr>
        <w:trPr>
          <w:trHeight w:val="1" w:hRule="atLeast"/>
          <w:jc w:val="left"/>
        </w:trPr>
        <w:tc>
          <w:tcPr>
            <w:tcW w:w="1334"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Підприємство</w:t>
            </w:r>
          </w:p>
        </w:tc>
        <w:tc>
          <w:tcPr>
            <w:tcW w:w="5748" w:type="dxa"/>
            <w:tcBorders>
              <w:top w:val="single" w:color="000000" w:sz="0"/>
              <w:left w:val="single" w:color="000000" w:sz="0"/>
              <w:bottom w:val="single" w:color="000000" w:sz="4"/>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w:t>
            </w:r>
            <w:r>
              <w:rPr>
                <w:rFonts w:ascii="Times New Roman" w:hAnsi="Times New Roman" w:cs="Times New Roman" w:eastAsia="Times New Roman"/>
                <w:b/>
                <w:color w:val="000000"/>
                <w:spacing w:val="0"/>
                <w:position w:val="0"/>
                <w:sz w:val="22"/>
                <w:u w:val="single"/>
                <w:shd w:fill="auto" w:val="clear"/>
              </w:rPr>
              <w:t xml:space="preserve">Приватне акціонерне товариство </w:t>
            </w:r>
            <w:r>
              <w:rPr>
                <w:rFonts w:ascii="Times New Roman" w:hAnsi="Times New Roman" w:cs="Times New Roman" w:eastAsia="Times New Roman"/>
                <w:b/>
                <w:color w:val="000000"/>
                <w:spacing w:val="0"/>
                <w:position w:val="0"/>
                <w:sz w:val="22"/>
                <w:u w:val="single"/>
                <w:shd w:fill="auto" w:val="clear"/>
              </w:rPr>
              <w:t xml:space="preserve">«</w:t>
            </w:r>
            <w:r>
              <w:rPr>
                <w:rFonts w:ascii="Times New Roman" w:hAnsi="Times New Roman" w:cs="Times New Roman" w:eastAsia="Times New Roman"/>
                <w:b/>
                <w:color w:val="000000"/>
                <w:spacing w:val="0"/>
                <w:position w:val="0"/>
                <w:sz w:val="22"/>
                <w:u w:val="single"/>
                <w:shd w:fill="auto" w:val="clear"/>
              </w:rPr>
              <w:t xml:space="preserve">Ватутінський комбінат вогнетривів</w:t>
            </w:r>
            <w:r>
              <w:rPr>
                <w:rFonts w:ascii="Times New Roman" w:hAnsi="Times New Roman" w:cs="Times New Roman" w:eastAsia="Times New Roman"/>
                <w:color w:val="000000"/>
                <w:spacing w:val="0"/>
                <w:position w:val="0"/>
                <w:sz w:val="22"/>
                <w:u w:val="single"/>
                <w:shd w:fill="auto" w:val="clear"/>
              </w:rPr>
              <w:t xml:space="preserve">» </w:t>
            </w:r>
          </w:p>
        </w:tc>
        <w:tc>
          <w:tcPr>
            <w:tcW w:w="1088" w:type="dxa"/>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ЄДРПОУ</w:t>
            </w:r>
          </w:p>
        </w:tc>
        <w:tc>
          <w:tcPr>
            <w:tcW w:w="1190"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00191916 </w:t>
            </w:r>
          </w:p>
        </w:tc>
      </w:tr>
    </w:tbl>
    <w:p>
      <w:pPr>
        <w:spacing w:before="0" w:after="0" w:line="240"/>
        <w:ind w:right="0" w:left="0" w:firstLine="0"/>
        <w:jc w:val="both"/>
        <w:rPr>
          <w:rFonts w:ascii="Times New Roman" w:hAnsi="Times New Roman" w:cs="Times New Roman" w:eastAsia="Times New Roman"/>
          <w:color w:val="000000"/>
          <w:spacing w:val="0"/>
          <w:position w:val="0"/>
          <w:sz w:val="6"/>
          <w:u w:val="single"/>
          <w:shd w:fill="auto" w:val="clear"/>
        </w:rPr>
      </w:pPr>
    </w:p>
    <w:p>
      <w:pPr>
        <w:keepNext w:val="true"/>
        <w:numPr>
          <w:ilvl w:val="0"/>
          <w:numId w:val="664"/>
        </w:numPr>
        <w:spacing w:before="0" w:after="0" w:line="240"/>
        <w:ind w:right="0" w:left="1871" w:hanging="430"/>
        <w:jc w:val="center"/>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ЗВІТ ПРО РУХ ГРОШОВИХ КОШТІВ (ЗА ПРЯМИМ МЕТОДОМ)</w:t>
      </w:r>
    </w:p>
    <w:p>
      <w:pPr>
        <w:keepNext w:val="true"/>
        <w:numPr>
          <w:ilvl w:val="0"/>
          <w:numId w:val="664"/>
        </w:numPr>
        <w:spacing w:before="0" w:after="0" w:line="240"/>
        <w:ind w:right="0" w:left="1871" w:hanging="430"/>
        <w:jc w:val="center"/>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ЗА 2020 РІК</w:t>
      </w:r>
    </w:p>
    <w:p>
      <w:pPr>
        <w:spacing w:before="0" w:after="0" w:line="240"/>
        <w:ind w:right="0" w:left="0" w:firstLine="0"/>
        <w:jc w:val="both"/>
        <w:rPr>
          <w:rFonts w:ascii="Times New Roman" w:hAnsi="Times New Roman" w:cs="Times New Roman" w:eastAsia="Times New Roman"/>
          <w:color w:val="000000"/>
          <w:spacing w:val="0"/>
          <w:position w:val="0"/>
          <w:sz w:val="6"/>
          <w:u w:val="single"/>
          <w:shd w:fill="auto" w:val="clear"/>
        </w:rPr>
      </w:pPr>
    </w:p>
    <w:tbl>
      <w:tblPr/>
      <w:tblGrid>
        <w:gridCol w:w="6756"/>
        <w:gridCol w:w="1436"/>
        <w:gridCol w:w="1168"/>
      </w:tblGrid>
      <w:tr>
        <w:trPr>
          <w:trHeight w:val="1" w:hRule="atLeast"/>
          <w:jc w:val="left"/>
        </w:trPr>
        <w:tc>
          <w:tcPr>
            <w:tcW w:w="6756"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567"/>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Форма N 3</w:t>
            </w:r>
          </w:p>
        </w:tc>
        <w:tc>
          <w:tcPr>
            <w:tcW w:w="1436" w:type="dxa"/>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Код за ДКУД</w:t>
            </w:r>
          </w:p>
        </w:tc>
        <w:tc>
          <w:tcPr>
            <w:tcW w:w="116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1801004</w:t>
            </w:r>
          </w:p>
        </w:tc>
      </w:tr>
    </w:tbl>
    <w:p>
      <w:pPr>
        <w:spacing w:before="0" w:after="0" w:line="240"/>
        <w:ind w:right="0" w:left="0" w:firstLine="0"/>
        <w:jc w:val="both"/>
        <w:rPr>
          <w:rFonts w:ascii="Times New Roman" w:hAnsi="Times New Roman" w:cs="Times New Roman" w:eastAsia="Times New Roman"/>
          <w:color w:val="000000"/>
          <w:spacing w:val="0"/>
          <w:position w:val="0"/>
          <w:sz w:val="6"/>
          <w:u w:val="single"/>
          <w:shd w:fill="auto" w:val="clear"/>
        </w:rPr>
      </w:pPr>
    </w:p>
    <w:tbl>
      <w:tblPr/>
      <w:tblGrid>
        <w:gridCol w:w="5106"/>
        <w:gridCol w:w="805"/>
        <w:gridCol w:w="1727"/>
        <w:gridCol w:w="1727"/>
      </w:tblGrid>
      <w:tr>
        <w:trPr>
          <w:trHeight w:val="1" w:hRule="atLeast"/>
          <w:jc w:val="left"/>
        </w:trPr>
        <w:tc>
          <w:tcPr>
            <w:tcW w:w="5106" w:type="dxa"/>
            <w:tcBorders>
              <w:top w:val="single" w:color="000000" w:sz="4"/>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567"/>
              <w:jc w:val="both"/>
              <w:rPr>
                <w:spacing w:val="0"/>
                <w:position w:val="0"/>
              </w:rPr>
            </w:pPr>
            <w:r>
              <w:rPr>
                <w:rFonts w:ascii="Times New Roman" w:hAnsi="Times New Roman" w:cs="Times New Roman" w:eastAsia="Times New Roman"/>
                <w:color w:val="000000"/>
                <w:spacing w:val="0"/>
                <w:position w:val="0"/>
                <w:sz w:val="20"/>
                <w:u w:val="single"/>
                <w:shd w:fill="auto" w:val="clear"/>
              </w:rPr>
              <w:t xml:space="preserve">Стаття </w:t>
            </w:r>
          </w:p>
        </w:tc>
        <w:tc>
          <w:tcPr>
            <w:tcW w:w="805" w:type="dxa"/>
            <w:tcBorders>
              <w:top w:val="single" w:color="000000" w:sz="4"/>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Код рядка</w:t>
            </w:r>
          </w:p>
        </w:tc>
        <w:tc>
          <w:tcPr>
            <w:tcW w:w="1727" w:type="dxa"/>
            <w:tcBorders>
              <w:top w:val="single" w:color="000000" w:sz="4"/>
              <w:left w:val="single" w:color="000000" w:sz="4"/>
              <w:bottom w:val="single" w:color="000000" w:sz="6"/>
              <w:right w:val="single" w:color="000000" w:sz="4"/>
            </w:tcBorders>
            <w:shd w:color="000000" w:fill="d9d9d9"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звітний період</w:t>
            </w:r>
          </w:p>
        </w:tc>
        <w:tc>
          <w:tcPr>
            <w:tcW w:w="1727" w:type="dxa"/>
            <w:tcBorders>
              <w:top w:val="single" w:color="000000" w:sz="4"/>
              <w:left w:val="single" w:color="000000" w:sz="4"/>
              <w:bottom w:val="single" w:color="000000" w:sz="6"/>
              <w:right w:val="single" w:color="000000" w:sz="4"/>
            </w:tcBorders>
            <w:shd w:color="000000" w:fill="d9d9d9" w:val="clear"/>
            <w:tcMar>
              <w:left w:w="0" w:type="dxa"/>
              <w:right w:w="0" w:type="dxa"/>
            </w:tcMar>
            <w:vAlign w:val="top"/>
          </w:tcPr>
          <w:p>
            <w:pPr>
              <w:spacing w:before="0" w:after="16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аналогічний період попереднього року</w:t>
            </w:r>
          </w:p>
        </w:tc>
      </w:tr>
      <w:tr>
        <w:trPr>
          <w:trHeight w:val="1" w:hRule="atLeast"/>
          <w:jc w:val="left"/>
        </w:trPr>
        <w:tc>
          <w:tcPr>
            <w:tcW w:w="5106"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567"/>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w:t>
            </w:r>
          </w:p>
        </w:tc>
        <w:tc>
          <w:tcPr>
            <w:tcW w:w="805"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w:t>
            </w:r>
          </w:p>
        </w:tc>
        <w:tc>
          <w:tcPr>
            <w:tcW w:w="1727" w:type="dxa"/>
            <w:tcBorders>
              <w:top w:val="single" w:color="000000" w:sz="6"/>
              <w:left w:val="single" w:color="000000" w:sz="4"/>
              <w:bottom w:val="single" w:color="000000" w:sz="6"/>
              <w:right w:val="single" w:color="000000" w:sz="4"/>
            </w:tcBorders>
            <w:shd w:color="000000" w:fill="d9d9d9"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w:t>
            </w:r>
          </w:p>
        </w:tc>
        <w:tc>
          <w:tcPr>
            <w:tcW w:w="1727" w:type="dxa"/>
            <w:tcBorders>
              <w:top w:val="single" w:color="000000" w:sz="6"/>
              <w:left w:val="single" w:color="000000" w:sz="4"/>
              <w:bottom w:val="single" w:color="000000" w:sz="6"/>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w:t>
            </w:r>
          </w:p>
        </w:tc>
      </w:tr>
      <w:tr>
        <w:trPr>
          <w:trHeight w:val="1" w:hRule="atLeast"/>
          <w:jc w:val="left"/>
        </w:trPr>
        <w:tc>
          <w:tcPr>
            <w:tcW w:w="5106" w:type="dxa"/>
            <w:tcBorders>
              <w:top w:val="single" w:color="000000" w:sz="6"/>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567"/>
              <w:jc w:val="both"/>
              <w:rPr>
                <w:rFonts w:ascii="Times New Roman" w:hAnsi="Times New Roman" w:cs="Times New Roman" w:eastAsia="Times New Roman"/>
                <w:color w:val="000000"/>
                <w:spacing w:val="0"/>
                <w:position w:val="0"/>
                <w:sz w:val="20"/>
                <w:u w:val="single"/>
                <w:shd w:fill="auto" w:val="clear"/>
              </w:rPr>
            </w:pPr>
            <w:r>
              <w:rPr>
                <w:rFonts w:ascii="Times New Roman" w:hAnsi="Times New Roman" w:cs="Times New Roman" w:eastAsia="Times New Roman"/>
                <w:color w:val="000000"/>
                <w:spacing w:val="0"/>
                <w:position w:val="0"/>
                <w:sz w:val="20"/>
                <w:u w:val="single"/>
                <w:shd w:fill="auto" w:val="clear"/>
              </w:rPr>
              <w:t xml:space="preserve">І. Рух коштів у результаті операційної діяльності</w:t>
            </w:r>
          </w:p>
          <w:p>
            <w:pPr>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Times New Roman" w:hAnsi="Times New Roman" w:cs="Times New Roman" w:eastAsia="Times New Roman"/>
                <w:color w:val="000000"/>
                <w:spacing w:val="0"/>
                <w:position w:val="0"/>
                <w:sz w:val="20"/>
                <w:u w:val="single"/>
                <w:shd w:fill="auto" w:val="clear"/>
              </w:rPr>
              <w:t xml:space="preserve">Надходження від:</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Реалізації продукції (товарів, робіт, послуг)</w:t>
            </w:r>
          </w:p>
        </w:tc>
        <w:tc>
          <w:tcPr>
            <w:tcW w:w="805"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3000</w:t>
            </w:r>
          </w:p>
        </w:tc>
        <w:tc>
          <w:tcPr>
            <w:tcW w:w="1727"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p>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233 854</w:t>
            </w:r>
          </w:p>
        </w:tc>
        <w:tc>
          <w:tcPr>
            <w:tcW w:w="1727" w:type="dxa"/>
            <w:tcBorders>
              <w:top w:val="single" w:color="000000" w:sz="6"/>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303 028</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Повернення податків і зборів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3005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28 403</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61 541</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у тому числі податку на додану вартість</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3006</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28 314</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61 541</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Цільового фінансування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3010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Надходження авансів від покупців і замовників</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3015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40 534</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127 166</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Надходження від повернення авансів</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3020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69</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1 287</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Надходження від відсотків за залишками коштів на поточних рахунках</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3025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p>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24</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102</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Надходження від боржників неустойки (штрафів, пені)</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3035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20</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Надходження від операційної оренди</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3040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Інші надходження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3095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725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709</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Times New Roman" w:hAnsi="Times New Roman" w:cs="Times New Roman" w:eastAsia="Times New Roman"/>
                <w:color w:val="000000"/>
                <w:spacing w:val="0"/>
                <w:position w:val="0"/>
                <w:sz w:val="20"/>
                <w:u w:val="single"/>
                <w:shd w:fill="auto" w:val="clear"/>
              </w:rPr>
              <w:t xml:space="preserve">Витрачання на оплату:</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Товарів (робіт, послуг)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3100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p>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(189 312)</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(259 851)</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Праці</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3105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(39 488)</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(37 182)</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Відрахувань на соціальні заходи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3110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(11 113)</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(10 224)</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Зобов’язань з податків і зборів</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3115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(15 675)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(26 767)</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Витрачання на оплату зобовязань з податку на прибуток</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3116</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(8 674)</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Витрачання на оплату зобовязань з податку на додану вартість</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3117</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Витрачання на оплату зобовязань з інших податків і зборів</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3118</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(15 675)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(18 093)</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Витрачання на оплату авансів</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3135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(52 853)</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(145 681)</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Витрачання на оплату повернення  авансів</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3140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(117)</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(780)</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Витрачання на оплату зобов’язань за страховими контрактами</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3150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(3 095)</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Інші витрачання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3190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(6 721)</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(3 774)</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Чистий рух коштів від операційної діяльності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3195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(11 641)</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6 499</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567"/>
              <w:jc w:val="both"/>
              <w:rPr>
                <w:rFonts w:ascii="Times New Roman" w:hAnsi="Times New Roman" w:cs="Times New Roman" w:eastAsia="Times New Roman"/>
                <w:color w:val="000000"/>
                <w:spacing w:val="0"/>
                <w:position w:val="0"/>
                <w:sz w:val="20"/>
                <w:u w:val="single"/>
                <w:shd w:fill="auto" w:val="clear"/>
              </w:rPr>
            </w:pPr>
            <w:r>
              <w:rPr>
                <w:rFonts w:ascii="Times New Roman" w:hAnsi="Times New Roman" w:cs="Times New Roman" w:eastAsia="Times New Roman"/>
                <w:color w:val="000000"/>
                <w:spacing w:val="0"/>
                <w:position w:val="0"/>
                <w:sz w:val="20"/>
                <w:u w:val="single"/>
                <w:shd w:fill="auto" w:val="clear"/>
              </w:rPr>
              <w:t xml:space="preserve">II. </w:t>
            </w:r>
            <w:r>
              <w:rPr>
                <w:rFonts w:ascii="Times New Roman" w:hAnsi="Times New Roman" w:cs="Times New Roman" w:eastAsia="Times New Roman"/>
                <w:color w:val="000000"/>
                <w:spacing w:val="0"/>
                <w:position w:val="0"/>
                <w:sz w:val="20"/>
                <w:u w:val="single"/>
                <w:shd w:fill="auto" w:val="clear"/>
              </w:rPr>
              <w:t xml:space="preserve">Рух коштів у результаті інвестиційної діяльності</w:t>
            </w:r>
          </w:p>
          <w:p>
            <w:pPr>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Times New Roman" w:hAnsi="Times New Roman" w:cs="Times New Roman" w:eastAsia="Times New Roman"/>
                <w:color w:val="000000"/>
                <w:spacing w:val="0"/>
                <w:position w:val="0"/>
                <w:sz w:val="20"/>
                <w:u w:val="single"/>
                <w:shd w:fill="auto" w:val="clear"/>
              </w:rPr>
              <w:t xml:space="preserve">Надходження від реалізації:</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фінансових інвестицій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3200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необоротних активів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3205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631</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Times New Roman" w:hAnsi="Times New Roman" w:cs="Times New Roman" w:eastAsia="Times New Roman"/>
                <w:color w:val="000000"/>
                <w:spacing w:val="0"/>
                <w:position w:val="0"/>
                <w:sz w:val="20"/>
                <w:u w:val="single"/>
                <w:shd w:fill="auto" w:val="clear"/>
              </w:rPr>
              <w:t xml:space="preserve">Надходження від отриманих:</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відсотків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3215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дивідендів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3220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Надходження від деривативів</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3225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Надходження від погашення позик</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3230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305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Інші надходження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3250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Times New Roman" w:hAnsi="Times New Roman" w:cs="Times New Roman" w:eastAsia="Times New Roman"/>
                <w:color w:val="000000"/>
                <w:spacing w:val="0"/>
                <w:position w:val="0"/>
                <w:sz w:val="20"/>
                <w:u w:val="single"/>
                <w:shd w:fill="auto" w:val="clear"/>
              </w:rPr>
              <w:t xml:space="preserve">Витрачання на придбання:</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фінансових інвестицій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3255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необоротних активів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3260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(11 455)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(37 274)</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Виплати за деривативами</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3270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Витрачання на надання позик</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3275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313</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Інші платежі</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3290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Чистий рух коштів від інвестиційної діяльності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3295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(10 832)</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160" w:line="259"/>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(37 274)</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567"/>
              <w:jc w:val="both"/>
              <w:rPr>
                <w:rFonts w:ascii="Times New Roman" w:hAnsi="Times New Roman" w:cs="Times New Roman" w:eastAsia="Times New Roman"/>
                <w:color w:val="000000"/>
                <w:spacing w:val="0"/>
                <w:position w:val="0"/>
                <w:sz w:val="20"/>
                <w:u w:val="single"/>
                <w:shd w:fill="auto" w:val="clear"/>
              </w:rPr>
            </w:pPr>
            <w:r>
              <w:rPr>
                <w:rFonts w:ascii="Times New Roman" w:hAnsi="Times New Roman" w:cs="Times New Roman" w:eastAsia="Times New Roman"/>
                <w:color w:val="000000"/>
                <w:spacing w:val="0"/>
                <w:position w:val="0"/>
                <w:sz w:val="20"/>
                <w:u w:val="single"/>
                <w:shd w:fill="auto" w:val="clear"/>
              </w:rPr>
              <w:t xml:space="preserve">III. </w:t>
            </w:r>
            <w:r>
              <w:rPr>
                <w:rFonts w:ascii="Times New Roman" w:hAnsi="Times New Roman" w:cs="Times New Roman" w:eastAsia="Times New Roman"/>
                <w:color w:val="000000"/>
                <w:spacing w:val="0"/>
                <w:position w:val="0"/>
                <w:sz w:val="20"/>
                <w:u w:val="single"/>
                <w:shd w:fill="auto" w:val="clear"/>
              </w:rPr>
              <w:t xml:space="preserve">Рух коштів у результаті фінансової діяльності</w:t>
            </w:r>
          </w:p>
          <w:p>
            <w:pPr>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Times New Roman" w:hAnsi="Times New Roman" w:cs="Times New Roman" w:eastAsia="Times New Roman"/>
                <w:color w:val="000000"/>
                <w:spacing w:val="0"/>
                <w:position w:val="0"/>
                <w:sz w:val="20"/>
                <w:u w:val="single"/>
                <w:shd w:fill="auto" w:val="clear"/>
              </w:rPr>
              <w:t xml:space="preserve">Надходження від:</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Власного капіталу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3300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Отримання позик</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3305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22 643</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Інші надходження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3340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Times New Roman" w:hAnsi="Times New Roman" w:cs="Times New Roman" w:eastAsia="Times New Roman"/>
                <w:color w:val="000000"/>
                <w:spacing w:val="0"/>
                <w:position w:val="0"/>
                <w:sz w:val="20"/>
                <w:u w:val="single"/>
                <w:shd w:fill="auto" w:val="clear"/>
              </w:rPr>
              <w:t xml:space="preserve">Витрачання на:</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Викуп власних акцій</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3345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Погашення позик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3350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Сплату дивідендів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3355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Витрачання на сплату відсотків</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3360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Інші платежі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3390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Чистий рух коштів від фінансової діяльності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3395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22 643</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Чистий рух грошових коштів за звітний період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3400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170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(30 775)</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Залишок коштів на початок року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3405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17 711</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50 902</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Вплив зміни валютних курсів на залишок коштів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3410</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2 602</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(2 416)</w:t>
            </w:r>
          </w:p>
        </w:tc>
      </w:tr>
      <w:tr>
        <w:trPr>
          <w:trHeight w:val="1" w:hRule="atLeast"/>
          <w:jc w:val="left"/>
        </w:trPr>
        <w:tc>
          <w:tcPr>
            <w:tcW w:w="510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Залишок коштів на кінець року </w:t>
            </w:r>
          </w:p>
        </w:tc>
        <w:tc>
          <w:tcPr>
            <w:tcW w:w="80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3415</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20 483</w:t>
            </w:r>
          </w:p>
        </w:tc>
        <w:tc>
          <w:tcPr>
            <w:tcW w:w="17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17 711</w:t>
            </w:r>
          </w:p>
        </w:tc>
      </w:tr>
    </w:tbl>
    <w:p>
      <w:pPr>
        <w:spacing w:before="0" w:after="0" w:line="240"/>
        <w:ind w:right="0" w:left="0" w:firstLine="0"/>
        <w:jc w:val="both"/>
        <w:rPr>
          <w:rFonts w:ascii="Times New Roman" w:hAnsi="Times New Roman" w:cs="Times New Roman" w:eastAsia="Times New Roman"/>
          <w:color w:val="000000"/>
          <w:spacing w:val="0"/>
          <w:position w:val="0"/>
          <w:sz w:val="20"/>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0"/>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tbl>
      <w:tblPr/>
      <w:tblGrid>
        <w:gridCol w:w="5637"/>
        <w:gridCol w:w="3934"/>
      </w:tblGrid>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Голова Правління</w:t>
            </w: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Літвін Денис Васильович</w:t>
            </w:r>
          </w:p>
        </w:tc>
      </w:tr>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0"/>
              <w:jc w:val="both"/>
              <w:rPr>
                <w:spacing w:val="0"/>
                <w:position w:val="0"/>
                <w:sz w:val="22"/>
              </w:rPr>
            </w:pP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Головний бухгалтер</w:t>
            </w: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Майборода Лариса Іванівна</w:t>
            </w:r>
          </w:p>
        </w:tc>
      </w:tr>
    </w:tbl>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tbl>
      <w:tblPr/>
      <w:tblGrid>
        <w:gridCol w:w="1375"/>
        <w:gridCol w:w="5481"/>
        <w:gridCol w:w="1292"/>
        <w:gridCol w:w="450"/>
        <w:gridCol w:w="378"/>
        <w:gridCol w:w="384"/>
      </w:tblGrid>
      <w:tr>
        <w:trPr>
          <w:trHeight w:val="1" w:hRule="atLeast"/>
          <w:jc w:val="left"/>
        </w:trPr>
        <w:tc>
          <w:tcPr>
            <w:tcW w:w="8148" w:type="dxa"/>
            <w:gridSpan w:val="3"/>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212"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КОДИ</w:t>
            </w:r>
          </w:p>
        </w:tc>
      </w:tr>
      <w:tr>
        <w:trPr>
          <w:trHeight w:val="1" w:hRule="atLeast"/>
          <w:jc w:val="left"/>
        </w:trPr>
        <w:tc>
          <w:tcPr>
            <w:tcW w:w="8148" w:type="dxa"/>
            <w:gridSpan w:val="3"/>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Дата (рік, місяць, число)</w:t>
            </w:r>
          </w:p>
        </w:tc>
        <w:tc>
          <w:tcPr>
            <w:tcW w:w="45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2021</w:t>
            </w:r>
          </w:p>
        </w:tc>
        <w:tc>
          <w:tcPr>
            <w:tcW w:w="37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01</w:t>
            </w:r>
          </w:p>
        </w:tc>
        <w:tc>
          <w:tcPr>
            <w:tcW w:w="38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01</w:t>
            </w:r>
          </w:p>
        </w:tc>
      </w:tr>
      <w:tr>
        <w:trPr>
          <w:trHeight w:val="1" w:hRule="atLeast"/>
          <w:jc w:val="left"/>
        </w:trPr>
        <w:tc>
          <w:tcPr>
            <w:tcW w:w="1375"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Підприємство</w:t>
            </w:r>
          </w:p>
        </w:tc>
        <w:tc>
          <w:tcPr>
            <w:tcW w:w="5481" w:type="dxa"/>
            <w:tcBorders>
              <w:top w:val="single" w:color="000000" w:sz="0"/>
              <w:left w:val="single" w:color="000000" w:sz="0"/>
              <w:bottom w:val="single" w:color="000000" w:sz="4"/>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w:t>
            </w:r>
            <w:r>
              <w:rPr>
                <w:rFonts w:ascii="Times New Roman" w:hAnsi="Times New Roman" w:cs="Times New Roman" w:eastAsia="Times New Roman"/>
                <w:b/>
                <w:color w:val="000000"/>
                <w:spacing w:val="0"/>
                <w:position w:val="0"/>
                <w:sz w:val="22"/>
                <w:u w:val="single"/>
                <w:shd w:fill="auto" w:val="clear"/>
              </w:rPr>
              <w:t xml:space="preserve">Приватне акціонерне товариство </w:t>
            </w:r>
            <w:r>
              <w:rPr>
                <w:rFonts w:ascii="Times New Roman" w:hAnsi="Times New Roman" w:cs="Times New Roman" w:eastAsia="Times New Roman"/>
                <w:b/>
                <w:color w:val="000000"/>
                <w:spacing w:val="0"/>
                <w:position w:val="0"/>
                <w:sz w:val="22"/>
                <w:u w:val="single"/>
                <w:shd w:fill="auto" w:val="clear"/>
              </w:rPr>
              <w:t xml:space="preserve">«</w:t>
            </w:r>
            <w:r>
              <w:rPr>
                <w:rFonts w:ascii="Times New Roman" w:hAnsi="Times New Roman" w:cs="Times New Roman" w:eastAsia="Times New Roman"/>
                <w:b/>
                <w:color w:val="000000"/>
                <w:spacing w:val="0"/>
                <w:position w:val="0"/>
                <w:sz w:val="22"/>
                <w:u w:val="single"/>
                <w:shd w:fill="auto" w:val="clear"/>
              </w:rPr>
              <w:t xml:space="preserve">Ватутінський комбінат вогнетривів</w:t>
            </w:r>
            <w:r>
              <w:rPr>
                <w:rFonts w:ascii="Times New Roman" w:hAnsi="Times New Roman" w:cs="Times New Roman" w:eastAsia="Times New Roman"/>
                <w:b/>
                <w:color w:val="000000"/>
                <w:spacing w:val="0"/>
                <w:position w:val="0"/>
                <w:sz w:val="22"/>
                <w:u w:val="single"/>
                <w:shd w:fill="auto" w:val="clear"/>
              </w:rPr>
              <w:t xml:space="preserve">»</w:t>
            </w:r>
          </w:p>
        </w:tc>
        <w:tc>
          <w:tcPr>
            <w:tcW w:w="1292" w:type="dxa"/>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ЄДРПОУ</w:t>
            </w:r>
          </w:p>
        </w:tc>
        <w:tc>
          <w:tcPr>
            <w:tcW w:w="1212"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00191916</w:t>
            </w:r>
          </w:p>
        </w:tc>
      </w:tr>
    </w:tbl>
    <w:p>
      <w:pPr>
        <w:spacing w:before="0" w:after="0" w:line="240"/>
        <w:ind w:right="0" w:left="0" w:firstLine="0"/>
        <w:jc w:val="center"/>
        <w:rPr>
          <w:rFonts w:ascii="Times New Roman" w:hAnsi="Times New Roman" w:cs="Times New Roman" w:eastAsia="Times New Roman"/>
          <w:color w:val="000000"/>
          <w:spacing w:val="0"/>
          <w:position w:val="0"/>
          <w:sz w:val="18"/>
          <w:u w:val="single"/>
          <w:shd w:fill="auto" w:val="clear"/>
        </w:rPr>
      </w:pPr>
      <w:r>
        <w:rPr>
          <w:rFonts w:ascii="Times New Roman" w:hAnsi="Times New Roman" w:cs="Times New Roman" w:eastAsia="Times New Roman"/>
          <w:color w:val="000000"/>
          <w:spacing w:val="0"/>
          <w:position w:val="0"/>
          <w:sz w:val="18"/>
          <w:u w:val="single"/>
          <w:shd w:fill="auto" w:val="clear"/>
        </w:rPr>
        <w:t xml:space="preserve">(</w:t>
      </w:r>
      <w:r>
        <w:rPr>
          <w:rFonts w:ascii="Times New Roman" w:hAnsi="Times New Roman" w:cs="Times New Roman" w:eastAsia="Times New Roman"/>
          <w:color w:val="000000"/>
          <w:spacing w:val="0"/>
          <w:position w:val="0"/>
          <w:sz w:val="18"/>
          <w:u w:val="single"/>
          <w:shd w:fill="auto" w:val="clear"/>
        </w:rPr>
        <w:t xml:space="preserve">найменування)</w:t>
      </w:r>
    </w:p>
    <w:p>
      <w:pPr>
        <w:keepNext w:val="true"/>
        <w:numPr>
          <w:ilvl w:val="0"/>
          <w:numId w:val="853"/>
        </w:numPr>
        <w:spacing w:before="0" w:after="0" w:line="240"/>
        <w:ind w:right="0" w:left="1871" w:hanging="430"/>
        <w:jc w:val="center"/>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ЗВІТ ПРО ВЛАСНИЙ КАПІТАЛ</w:t>
      </w:r>
    </w:p>
    <w:p>
      <w:pPr>
        <w:keepNext w:val="true"/>
        <w:numPr>
          <w:ilvl w:val="0"/>
          <w:numId w:val="853"/>
        </w:numPr>
        <w:spacing w:before="0" w:after="0" w:line="240"/>
        <w:ind w:right="0" w:left="1871" w:hanging="430"/>
        <w:jc w:val="center"/>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ЗА 2020 РІК</w:t>
      </w:r>
    </w:p>
    <w:tbl>
      <w:tblPr/>
      <w:tblGrid>
        <w:gridCol w:w="6706"/>
        <w:gridCol w:w="1426"/>
        <w:gridCol w:w="1228"/>
      </w:tblGrid>
      <w:tr>
        <w:trPr>
          <w:trHeight w:val="1" w:hRule="atLeast"/>
          <w:jc w:val="left"/>
        </w:trPr>
        <w:tc>
          <w:tcPr>
            <w:tcW w:w="6706"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567"/>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Форма N 4</w:t>
            </w:r>
          </w:p>
        </w:tc>
        <w:tc>
          <w:tcPr>
            <w:tcW w:w="1426" w:type="dxa"/>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Код за ДКУД</w:t>
            </w:r>
          </w:p>
        </w:tc>
        <w:tc>
          <w:tcPr>
            <w:tcW w:w="122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1801005</w:t>
            </w:r>
          </w:p>
        </w:tc>
      </w:tr>
    </w:tbl>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tbl>
      <w:tblPr/>
      <w:tblGrid>
        <w:gridCol w:w="2567"/>
        <w:gridCol w:w="509"/>
        <w:gridCol w:w="780"/>
        <w:gridCol w:w="827"/>
        <w:gridCol w:w="827"/>
        <w:gridCol w:w="825"/>
        <w:gridCol w:w="1102"/>
        <w:gridCol w:w="825"/>
        <w:gridCol w:w="688"/>
        <w:gridCol w:w="823"/>
      </w:tblGrid>
      <w:tr>
        <w:trPr>
          <w:trHeight w:val="1" w:hRule="atLeast"/>
          <w:jc w:val="left"/>
        </w:trPr>
        <w:tc>
          <w:tcPr>
            <w:tcW w:w="2567"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Стаття</w:t>
            </w:r>
          </w:p>
        </w:tc>
        <w:tc>
          <w:tcPr>
            <w:tcW w:w="509"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Код рядка</w:t>
            </w:r>
          </w:p>
        </w:tc>
        <w:tc>
          <w:tcPr>
            <w:tcW w:w="780"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Зареєстро-ваний капітал </w:t>
            </w:r>
          </w:p>
        </w:tc>
        <w:tc>
          <w:tcPr>
            <w:tcW w:w="827"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Капітал у дооцін-ках</w:t>
            </w:r>
          </w:p>
        </w:tc>
        <w:tc>
          <w:tcPr>
            <w:tcW w:w="827"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Додат-ковий капітал</w:t>
            </w:r>
          </w:p>
        </w:tc>
        <w:tc>
          <w:tcPr>
            <w:tcW w:w="825"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Резер-вний капітал</w:t>
            </w:r>
          </w:p>
        </w:tc>
        <w:tc>
          <w:tcPr>
            <w:tcW w:w="1102"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Нерозпо-ділений прибуток (непокритий збиток)</w:t>
            </w:r>
          </w:p>
        </w:tc>
        <w:tc>
          <w:tcPr>
            <w:tcW w:w="825"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Неопла-чений капітал</w:t>
            </w:r>
          </w:p>
        </w:tc>
        <w:tc>
          <w:tcPr>
            <w:tcW w:w="688"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Вилу-чений капітал</w:t>
            </w:r>
          </w:p>
        </w:tc>
        <w:tc>
          <w:tcPr>
            <w:tcW w:w="823"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Всього</w:t>
            </w: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1</w:t>
            </w:r>
          </w:p>
        </w:tc>
        <w:tc>
          <w:tcPr>
            <w:tcW w:w="509"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2</w:t>
            </w:r>
          </w:p>
        </w:tc>
        <w:tc>
          <w:tcPr>
            <w:tcW w:w="780"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3</w:t>
            </w:r>
          </w:p>
        </w:tc>
        <w:tc>
          <w:tcPr>
            <w:tcW w:w="827"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4</w:t>
            </w:r>
          </w:p>
        </w:tc>
        <w:tc>
          <w:tcPr>
            <w:tcW w:w="827"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5</w:t>
            </w:r>
          </w:p>
        </w:tc>
        <w:tc>
          <w:tcPr>
            <w:tcW w:w="825"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6</w:t>
            </w:r>
          </w:p>
        </w:tc>
        <w:tc>
          <w:tcPr>
            <w:tcW w:w="1102"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7</w:t>
            </w:r>
          </w:p>
        </w:tc>
        <w:tc>
          <w:tcPr>
            <w:tcW w:w="825"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8</w:t>
            </w:r>
          </w:p>
        </w:tc>
        <w:tc>
          <w:tcPr>
            <w:tcW w:w="688"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9</w:t>
            </w:r>
          </w:p>
        </w:tc>
        <w:tc>
          <w:tcPr>
            <w:tcW w:w="823"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10</w:t>
            </w: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Залишок на початок року</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0"/>
                <w:u w:val="single"/>
                <w:shd w:fill="auto" w:val="clear"/>
              </w:rPr>
              <w:t xml:space="preserve">4000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5 911</w:t>
            </w: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25 456</w:t>
            </w: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17</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14 196</w:t>
            </w: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253 736</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299 316</w:t>
            </w:r>
          </w:p>
        </w:tc>
      </w:tr>
      <w:tr>
        <w:trPr>
          <w:trHeight w:val="494" w:hRule="auto"/>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Коригування:</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Зміна облікової політики</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4005</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Виправлення помилок</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4010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Інші зміни</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4090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w:t>
            </w: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Скоригований залишок на початок року</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0"/>
                <w:u w:val="single"/>
                <w:shd w:fill="auto" w:val="clear"/>
              </w:rPr>
              <w:t xml:space="preserve">4095</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5 911</w:t>
            </w: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25 456</w:t>
            </w: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17</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14 196</w:t>
            </w: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253 725</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299 305</w:t>
            </w: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Чистий прибуток (збиток) за звітний період</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0"/>
                <w:u w:val="single"/>
                <w:shd w:fill="auto" w:val="clear"/>
              </w:rPr>
              <w:t xml:space="preserve">4100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(62 958)</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(62 958)</w:t>
            </w:r>
          </w:p>
        </w:tc>
      </w:tr>
      <w:tr>
        <w:trPr>
          <w:trHeight w:val="268" w:hRule="auto"/>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Інший сукупний дохід за звітний період</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0"/>
                <w:u w:val="single"/>
                <w:shd w:fill="auto" w:val="clear"/>
              </w:rPr>
              <w:t xml:space="preserve">4110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Розподіл прибутку:</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Виплати власникам (дивіденди)</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4200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Спрямування прибутку до зареєстрованого капіталу</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4205</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Відрахування до резервного капіталу</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4210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Внески учасників:</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Внески до капіталу</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4240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Погашення заборгованості з капіталу</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4245</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Вилучення капіталу:</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Викуп акцій (часток)</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4260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Перепродаж викуплених акцій (часток)</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4265</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Анулювання викуплених акцій (часток)</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4270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Вилучення частки в капіталі</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4275</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Інші зміни в капіталі</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4290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(540)</w:t>
            </w: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(334)</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(874)</w:t>
            </w: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 змін у капіталі</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0"/>
                <w:u w:val="single"/>
                <w:shd w:fill="auto" w:val="clear"/>
              </w:rPr>
              <w:t xml:space="preserve">4295</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(540)</w:t>
            </w: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(63 292)</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(63 832)</w:t>
            </w: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Залишок</w:t>
            </w:r>
          </w:p>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на кінець року</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0"/>
                <w:u w:val="single"/>
                <w:shd w:fill="auto" w:val="clear"/>
              </w:rPr>
              <w:t xml:space="preserve">4300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5911</w:t>
            </w: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24 916</w:t>
            </w: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17</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14 196</w:t>
            </w: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190 433</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235 473</w:t>
            </w:r>
          </w:p>
        </w:tc>
      </w:tr>
    </w:tbl>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tbl>
      <w:tblPr/>
      <w:tblGrid>
        <w:gridCol w:w="5637"/>
        <w:gridCol w:w="3934"/>
      </w:tblGrid>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Голова Правління</w:t>
            </w: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Літвін Денис Васильович</w:t>
            </w:r>
          </w:p>
        </w:tc>
      </w:tr>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0"/>
              <w:jc w:val="both"/>
              <w:rPr>
                <w:spacing w:val="0"/>
                <w:position w:val="0"/>
                <w:sz w:val="22"/>
              </w:rPr>
            </w:pP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Головний бухгалтер</w:t>
            </w: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Майборода Лариса Іванівна</w:t>
            </w:r>
          </w:p>
        </w:tc>
      </w:tr>
    </w:tbl>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tbl>
      <w:tblPr/>
      <w:tblGrid>
        <w:gridCol w:w="1375"/>
        <w:gridCol w:w="5481"/>
        <w:gridCol w:w="1292"/>
        <w:gridCol w:w="450"/>
        <w:gridCol w:w="378"/>
        <w:gridCol w:w="384"/>
      </w:tblGrid>
      <w:tr>
        <w:trPr>
          <w:trHeight w:val="1" w:hRule="atLeast"/>
          <w:jc w:val="left"/>
        </w:trPr>
        <w:tc>
          <w:tcPr>
            <w:tcW w:w="8148" w:type="dxa"/>
            <w:gridSpan w:val="3"/>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212"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КОДИ</w:t>
            </w:r>
          </w:p>
        </w:tc>
      </w:tr>
      <w:tr>
        <w:trPr>
          <w:trHeight w:val="1" w:hRule="atLeast"/>
          <w:jc w:val="left"/>
        </w:trPr>
        <w:tc>
          <w:tcPr>
            <w:tcW w:w="8148" w:type="dxa"/>
            <w:gridSpan w:val="3"/>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Дата (рік, місяць, число)</w:t>
            </w:r>
          </w:p>
        </w:tc>
        <w:tc>
          <w:tcPr>
            <w:tcW w:w="45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2020</w:t>
            </w:r>
          </w:p>
        </w:tc>
        <w:tc>
          <w:tcPr>
            <w:tcW w:w="37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01</w:t>
            </w:r>
          </w:p>
        </w:tc>
        <w:tc>
          <w:tcPr>
            <w:tcW w:w="38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01</w:t>
            </w:r>
          </w:p>
        </w:tc>
      </w:tr>
      <w:tr>
        <w:trPr>
          <w:trHeight w:val="1" w:hRule="atLeast"/>
          <w:jc w:val="left"/>
        </w:trPr>
        <w:tc>
          <w:tcPr>
            <w:tcW w:w="1375"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Підприємство</w:t>
            </w:r>
          </w:p>
        </w:tc>
        <w:tc>
          <w:tcPr>
            <w:tcW w:w="5481" w:type="dxa"/>
            <w:tcBorders>
              <w:top w:val="single" w:color="000000" w:sz="0"/>
              <w:left w:val="single" w:color="000000" w:sz="0"/>
              <w:bottom w:val="single" w:color="000000" w:sz="4"/>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 </w:t>
            </w:r>
            <w:r>
              <w:rPr>
                <w:rFonts w:ascii="Times New Roman" w:hAnsi="Times New Roman" w:cs="Times New Roman" w:eastAsia="Times New Roman"/>
                <w:b/>
                <w:color w:val="000000"/>
                <w:spacing w:val="0"/>
                <w:position w:val="0"/>
                <w:sz w:val="22"/>
                <w:u w:val="single"/>
                <w:shd w:fill="auto" w:val="clear"/>
              </w:rPr>
              <w:t xml:space="preserve">Приватне акціонерне товариство </w:t>
            </w:r>
            <w:r>
              <w:rPr>
                <w:rFonts w:ascii="Times New Roman" w:hAnsi="Times New Roman" w:cs="Times New Roman" w:eastAsia="Times New Roman"/>
                <w:b/>
                <w:color w:val="000000"/>
                <w:spacing w:val="0"/>
                <w:position w:val="0"/>
                <w:sz w:val="22"/>
                <w:u w:val="single"/>
                <w:shd w:fill="auto" w:val="clear"/>
              </w:rPr>
              <w:t xml:space="preserve">«</w:t>
            </w:r>
            <w:r>
              <w:rPr>
                <w:rFonts w:ascii="Times New Roman" w:hAnsi="Times New Roman" w:cs="Times New Roman" w:eastAsia="Times New Roman"/>
                <w:b/>
                <w:color w:val="000000"/>
                <w:spacing w:val="0"/>
                <w:position w:val="0"/>
                <w:sz w:val="22"/>
                <w:u w:val="single"/>
                <w:shd w:fill="auto" w:val="clear"/>
              </w:rPr>
              <w:t xml:space="preserve">Ватутінський комбінат вогнетривів</w:t>
            </w:r>
            <w:r>
              <w:rPr>
                <w:rFonts w:ascii="Times New Roman" w:hAnsi="Times New Roman" w:cs="Times New Roman" w:eastAsia="Times New Roman"/>
                <w:b/>
                <w:color w:val="000000"/>
                <w:spacing w:val="0"/>
                <w:position w:val="0"/>
                <w:sz w:val="22"/>
                <w:u w:val="single"/>
                <w:shd w:fill="auto" w:val="clear"/>
              </w:rPr>
              <w:t xml:space="preserve">»</w:t>
            </w:r>
          </w:p>
        </w:tc>
        <w:tc>
          <w:tcPr>
            <w:tcW w:w="1292" w:type="dxa"/>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 ЄДРПОУ</w:t>
            </w:r>
          </w:p>
        </w:tc>
        <w:tc>
          <w:tcPr>
            <w:tcW w:w="1212"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00191916</w:t>
            </w:r>
          </w:p>
        </w:tc>
      </w:tr>
    </w:tbl>
    <w:p>
      <w:pPr>
        <w:spacing w:before="0" w:after="0" w:line="240"/>
        <w:ind w:right="0" w:left="0" w:firstLine="0"/>
        <w:jc w:val="center"/>
        <w:rPr>
          <w:rFonts w:ascii="Times New Roman" w:hAnsi="Times New Roman" w:cs="Times New Roman" w:eastAsia="Times New Roman"/>
          <w:color w:val="000000"/>
          <w:spacing w:val="0"/>
          <w:position w:val="0"/>
          <w:sz w:val="18"/>
          <w:u w:val="single"/>
          <w:shd w:fill="auto" w:val="clear"/>
        </w:rPr>
      </w:pPr>
      <w:r>
        <w:rPr>
          <w:rFonts w:ascii="Times New Roman" w:hAnsi="Times New Roman" w:cs="Times New Roman" w:eastAsia="Times New Roman"/>
          <w:color w:val="000000"/>
          <w:spacing w:val="0"/>
          <w:position w:val="0"/>
          <w:sz w:val="18"/>
          <w:u w:val="single"/>
          <w:shd w:fill="auto" w:val="clear"/>
        </w:rPr>
        <w:t xml:space="preserve">(</w:t>
      </w:r>
      <w:r>
        <w:rPr>
          <w:rFonts w:ascii="Times New Roman" w:hAnsi="Times New Roman" w:cs="Times New Roman" w:eastAsia="Times New Roman"/>
          <w:color w:val="000000"/>
          <w:spacing w:val="0"/>
          <w:position w:val="0"/>
          <w:sz w:val="18"/>
          <w:u w:val="single"/>
          <w:shd w:fill="auto" w:val="clear"/>
        </w:rPr>
        <w:t xml:space="preserve">найменування)</w:t>
      </w:r>
    </w:p>
    <w:p>
      <w:pPr>
        <w:keepNext w:val="true"/>
        <w:numPr>
          <w:ilvl w:val="0"/>
          <w:numId w:val="975"/>
        </w:numPr>
        <w:spacing w:before="0" w:after="0" w:line="240"/>
        <w:ind w:right="0" w:left="1871" w:hanging="430"/>
        <w:jc w:val="center"/>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ЗВІТ ПРО ВЛАСНИЙ КАПІТАЛ</w:t>
      </w:r>
    </w:p>
    <w:p>
      <w:pPr>
        <w:keepNext w:val="true"/>
        <w:numPr>
          <w:ilvl w:val="0"/>
          <w:numId w:val="975"/>
        </w:numPr>
        <w:spacing w:before="0" w:after="0" w:line="240"/>
        <w:ind w:right="0" w:left="1871" w:hanging="430"/>
        <w:jc w:val="center"/>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ЗА 2019 РІК</w:t>
      </w:r>
    </w:p>
    <w:tbl>
      <w:tblPr/>
      <w:tblGrid>
        <w:gridCol w:w="6706"/>
        <w:gridCol w:w="1426"/>
        <w:gridCol w:w="1228"/>
      </w:tblGrid>
      <w:tr>
        <w:trPr>
          <w:trHeight w:val="1" w:hRule="atLeast"/>
          <w:jc w:val="left"/>
        </w:trPr>
        <w:tc>
          <w:tcPr>
            <w:tcW w:w="6706"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567"/>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Форма N 4</w:t>
            </w:r>
          </w:p>
        </w:tc>
        <w:tc>
          <w:tcPr>
            <w:tcW w:w="1426" w:type="dxa"/>
            <w:tcBorders>
              <w:top w:val="single" w:color="000000" w:sz="0"/>
              <w:left w:val="single" w:color="000000" w:sz="0"/>
              <w:bottom w:val="single" w:color="000000" w:sz="0"/>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Код за ДКУД</w:t>
            </w:r>
          </w:p>
        </w:tc>
        <w:tc>
          <w:tcPr>
            <w:tcW w:w="122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1801005</w:t>
            </w:r>
          </w:p>
        </w:tc>
      </w:tr>
    </w:tbl>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tbl>
      <w:tblPr/>
      <w:tblGrid>
        <w:gridCol w:w="2567"/>
        <w:gridCol w:w="509"/>
        <w:gridCol w:w="780"/>
        <w:gridCol w:w="827"/>
        <w:gridCol w:w="827"/>
        <w:gridCol w:w="825"/>
        <w:gridCol w:w="1102"/>
        <w:gridCol w:w="825"/>
        <w:gridCol w:w="688"/>
        <w:gridCol w:w="823"/>
      </w:tblGrid>
      <w:tr>
        <w:trPr>
          <w:trHeight w:val="1" w:hRule="atLeast"/>
          <w:jc w:val="left"/>
        </w:trPr>
        <w:tc>
          <w:tcPr>
            <w:tcW w:w="2567"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Стаття</w:t>
            </w:r>
          </w:p>
        </w:tc>
        <w:tc>
          <w:tcPr>
            <w:tcW w:w="509"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Код рядка</w:t>
            </w:r>
          </w:p>
        </w:tc>
        <w:tc>
          <w:tcPr>
            <w:tcW w:w="780"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Зареєстро-ваний капітал </w:t>
            </w:r>
          </w:p>
        </w:tc>
        <w:tc>
          <w:tcPr>
            <w:tcW w:w="827"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Капітал у дооцін-ках</w:t>
            </w:r>
          </w:p>
        </w:tc>
        <w:tc>
          <w:tcPr>
            <w:tcW w:w="827"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Додат-ковий капітал</w:t>
            </w:r>
          </w:p>
        </w:tc>
        <w:tc>
          <w:tcPr>
            <w:tcW w:w="825"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Резер-вний капітал</w:t>
            </w:r>
          </w:p>
        </w:tc>
        <w:tc>
          <w:tcPr>
            <w:tcW w:w="1102"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Нерозпо-ділений прибуток (непокритий збиток)</w:t>
            </w:r>
          </w:p>
        </w:tc>
        <w:tc>
          <w:tcPr>
            <w:tcW w:w="825"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Неопла-чений капітал</w:t>
            </w:r>
          </w:p>
        </w:tc>
        <w:tc>
          <w:tcPr>
            <w:tcW w:w="688"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Вилу-чений капітал</w:t>
            </w:r>
          </w:p>
        </w:tc>
        <w:tc>
          <w:tcPr>
            <w:tcW w:w="823"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Всього</w:t>
            </w: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1</w:t>
            </w:r>
          </w:p>
        </w:tc>
        <w:tc>
          <w:tcPr>
            <w:tcW w:w="509"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2</w:t>
            </w:r>
          </w:p>
        </w:tc>
        <w:tc>
          <w:tcPr>
            <w:tcW w:w="780"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3</w:t>
            </w:r>
          </w:p>
        </w:tc>
        <w:tc>
          <w:tcPr>
            <w:tcW w:w="827"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4</w:t>
            </w:r>
          </w:p>
        </w:tc>
        <w:tc>
          <w:tcPr>
            <w:tcW w:w="827"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5</w:t>
            </w:r>
          </w:p>
        </w:tc>
        <w:tc>
          <w:tcPr>
            <w:tcW w:w="825"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6</w:t>
            </w:r>
          </w:p>
        </w:tc>
        <w:tc>
          <w:tcPr>
            <w:tcW w:w="1102"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7</w:t>
            </w:r>
          </w:p>
        </w:tc>
        <w:tc>
          <w:tcPr>
            <w:tcW w:w="825"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8</w:t>
            </w:r>
          </w:p>
        </w:tc>
        <w:tc>
          <w:tcPr>
            <w:tcW w:w="688"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9</w:t>
            </w:r>
          </w:p>
        </w:tc>
        <w:tc>
          <w:tcPr>
            <w:tcW w:w="823" w:type="dxa"/>
            <w:tcBorders>
              <w:top w:val="single" w:color="000000" w:sz="4"/>
              <w:left w:val="single" w:color="000000" w:sz="4"/>
              <w:bottom w:val="single" w:color="000000" w:sz="4"/>
              <w:right w:val="single" w:color="000000" w:sz="4"/>
            </w:tcBorders>
            <w:shd w:color="000000" w:fill="d9d9d9" w:val="clear"/>
            <w:tcMar>
              <w:left w:w="0" w:type="dxa"/>
              <w:right w:w="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8"/>
                <w:u w:val="single"/>
                <w:shd w:fill="auto" w:val="clear"/>
              </w:rPr>
              <w:t xml:space="preserve">10</w:t>
            </w: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Залишок на початок року</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0"/>
                <w:u w:val="single"/>
                <w:shd w:fill="auto" w:val="clear"/>
              </w:rPr>
              <w:t xml:space="preserve">4000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5 911</w:t>
            </w: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25 834</w:t>
            </w: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29</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14 196</w:t>
            </w: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223 454</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(16)</w:t>
            </w: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269 408</w:t>
            </w:r>
          </w:p>
        </w:tc>
      </w:tr>
      <w:tr>
        <w:trPr>
          <w:trHeight w:val="494" w:hRule="auto"/>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Коригування:</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Зміна облікової політики</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4005</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Виправлення помилок</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4010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(11)</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Інші зміни</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4090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(1 511)</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Скоригований залишок на початок року</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0"/>
                <w:u w:val="single"/>
                <w:shd w:fill="auto" w:val="clear"/>
              </w:rPr>
              <w:t xml:space="preserve">4095</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5 911</w:t>
            </w: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25 834</w:t>
            </w: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29</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14 196</w:t>
            </w: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221 932</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(16)</w:t>
            </w: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267 886</w:t>
            </w: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Чистий прибуток (збиток) за звітний період</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0"/>
                <w:u w:val="single"/>
                <w:shd w:fill="auto" w:val="clear"/>
              </w:rPr>
              <w:t xml:space="preserve">4100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31 415</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31 415</w:t>
            </w:r>
          </w:p>
        </w:tc>
      </w:tr>
      <w:tr>
        <w:trPr>
          <w:trHeight w:val="268" w:hRule="auto"/>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Інший сукупний дохід за звітний період</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0"/>
                <w:u w:val="single"/>
                <w:shd w:fill="auto" w:val="clear"/>
              </w:rPr>
              <w:t xml:space="preserve">4110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Розподіл прибутку:</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Виплати власникам (дивіденди)</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4200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Спрямування прибутку до зареєстрованого капіталу</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4205</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Відрахування до резервного капіталу</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4210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Внески учасників:</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Внески до капіталу</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4240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Погашення заборгованості з капіталу</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4245</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Вилучення капіталу:</w:t>
            </w:r>
          </w:p>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Викуп акцій (часток)</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4260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Перепродаж викуплених акцій (часток)</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4265</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Анулювання викуплених акцій (часток)</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4270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Вилучення частки в капіталі</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4275</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Інші зміни в капіталі</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4290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(378)</w:t>
            </w: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(12)</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389</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16</w:t>
            </w: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15</w:t>
            </w: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 змін у капіталі</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0"/>
                <w:u w:val="single"/>
                <w:shd w:fill="auto" w:val="clear"/>
              </w:rPr>
              <w:t xml:space="preserve">4295</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(378)</w:t>
            </w: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(12)</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31 804</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16</w:t>
            </w: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u w:val="single"/>
                <w:shd w:fill="auto" w:val="clear"/>
              </w:rPr>
              <w:t xml:space="preserve">31 430</w:t>
            </w:r>
          </w:p>
        </w:tc>
      </w:tr>
      <w:tr>
        <w:trPr>
          <w:trHeight w:val="1" w:hRule="atLeast"/>
          <w:jc w:val="left"/>
        </w:trPr>
        <w:tc>
          <w:tcPr>
            <w:tcW w:w="25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center"/>
          </w:tcPr>
          <w:p>
            <w:pPr>
              <w:spacing w:before="0" w:after="0" w:line="240"/>
              <w:ind w:right="0" w:left="0" w:firstLine="0"/>
              <w:jc w:val="left"/>
              <w:rPr>
                <w:rFonts w:ascii="Times New Roman" w:hAnsi="Times New Roman" w:cs="Times New Roman" w:eastAsia="Times New Roman"/>
                <w:b/>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Залишок</w:t>
            </w:r>
          </w:p>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на кінець року</w:t>
            </w:r>
          </w:p>
        </w:tc>
        <w:tc>
          <w:tcPr>
            <w:tcW w:w="50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0"/>
                <w:u w:val="single"/>
                <w:shd w:fill="auto" w:val="clear"/>
              </w:rPr>
              <w:t xml:space="preserve">4300</w:t>
            </w:r>
          </w:p>
        </w:tc>
        <w:tc>
          <w:tcPr>
            <w:tcW w:w="7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5 911</w:t>
            </w: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24 456</w:t>
            </w:r>
          </w:p>
        </w:tc>
        <w:tc>
          <w:tcPr>
            <w:tcW w:w="82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17</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14 196</w:t>
            </w:r>
          </w:p>
        </w:tc>
        <w:tc>
          <w:tcPr>
            <w:tcW w:w="11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253 736</w:t>
            </w:r>
          </w:p>
        </w:tc>
        <w:tc>
          <w:tcPr>
            <w:tcW w:w="82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68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567"/>
              <w:jc w:val="center"/>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299 316</w:t>
            </w:r>
          </w:p>
        </w:tc>
      </w:tr>
    </w:tbl>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tbl>
      <w:tblPr/>
      <w:tblGrid>
        <w:gridCol w:w="5637"/>
        <w:gridCol w:w="3934"/>
      </w:tblGrid>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Голова Правління</w:t>
            </w: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Літвін Денис Васильович</w:t>
            </w:r>
          </w:p>
        </w:tc>
      </w:tr>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0"/>
              <w:jc w:val="both"/>
              <w:rPr>
                <w:spacing w:val="0"/>
                <w:position w:val="0"/>
                <w:sz w:val="22"/>
              </w:rPr>
            </w:pP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Головний бухгалтер</w:t>
            </w: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Майборода Лариса Іванівна</w:t>
            </w:r>
          </w:p>
        </w:tc>
      </w:tr>
    </w:tbl>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567"/>
        <w:jc w:val="both"/>
        <w:rPr>
          <w:rFonts w:ascii="Times New Roman" w:hAnsi="Times New Roman" w:cs="Times New Roman" w:eastAsia="Times New Roman"/>
          <w:color w:val="000000"/>
          <w:spacing w:val="0"/>
          <w:position w:val="0"/>
          <w:sz w:val="22"/>
          <w:u w:val="single"/>
          <w:shd w:fill="auto" w:val="clear"/>
        </w:rPr>
      </w:pPr>
    </w:p>
    <w:p>
      <w:pPr>
        <w:keepNext w:val="true"/>
        <w:tabs>
          <w:tab w:val="left" w:pos="0" w:leader="none"/>
        </w:tabs>
        <w:spacing w:before="120" w:after="120" w:line="480"/>
        <w:ind w:right="0" w:left="28"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keepNext w:val="true"/>
        <w:tabs>
          <w:tab w:val="left" w:pos="0" w:leader="none"/>
        </w:tabs>
        <w:spacing w:before="120" w:after="120" w:line="480"/>
        <w:ind w:right="0" w:left="28"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ПРИМІТКИ ДО ФІНАНСОВОЇ ЗВІТНОСТІ ПРАТ "ВАТУТІНСЬКИЙ КОМБІНАТ ВОГНЕТРИВІВ" ЗА РІК, ЩО ЗАКІНЧИВСЯ 31 ГРУДНЯ 2020 РОКУ</w:t>
      </w:r>
    </w:p>
    <w:p>
      <w:pPr>
        <w:tabs>
          <w:tab w:val="left" w:pos="7087" w:leader="none"/>
        </w:tabs>
        <w:spacing w:before="120" w:after="120" w:line="240"/>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i/>
          <w:color w:val="000000"/>
          <w:spacing w:val="0"/>
          <w:position w:val="0"/>
          <w:sz w:val="24"/>
          <w:u w:val="single"/>
          <w:shd w:fill="auto" w:val="clear"/>
        </w:rPr>
        <w:t xml:space="preserve">(</w:t>
      </w:r>
      <w:r>
        <w:rPr>
          <w:rFonts w:ascii="Times New Roman" w:hAnsi="Times New Roman" w:cs="Times New Roman" w:eastAsia="Times New Roman"/>
          <w:i/>
          <w:color w:val="000000"/>
          <w:spacing w:val="0"/>
          <w:position w:val="0"/>
          <w:sz w:val="24"/>
          <w:u w:val="single"/>
          <w:shd w:fill="auto" w:val="clear"/>
        </w:rPr>
        <w:t xml:space="preserve">в тис. грн.)</w:t>
      </w:r>
    </w:p>
    <w:p>
      <w:pPr>
        <w:keepNext w:val="true"/>
        <w:tabs>
          <w:tab w:val="left" w:pos="0" w:leader="none"/>
        </w:tabs>
        <w:spacing w:before="120" w:after="120" w:line="240"/>
        <w:ind w:right="0" w:left="0" w:firstLine="0"/>
        <w:jc w:val="left"/>
        <w:rPr>
          <w:rFonts w:ascii="Times New Roman" w:hAnsi="Times New Roman" w:cs="Times New Roman" w:eastAsia="Times New Roman"/>
          <w:color w:val="000000"/>
          <w:spacing w:val="0"/>
          <w:position w:val="0"/>
          <w:sz w:val="24"/>
          <w:u w:val="single"/>
          <w:shd w:fill="auto" w:val="clear"/>
        </w:rPr>
      </w:pPr>
    </w:p>
    <w:p>
      <w:pPr>
        <w:keepNext w:val="true"/>
        <w:tabs>
          <w:tab w:val="left" w:pos="0" w:leader="none"/>
        </w:tabs>
        <w:spacing w:before="0" w:after="120" w:line="276"/>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ab/>
        <w:t xml:space="preserve">1. </w:t>
      </w:r>
      <w:r>
        <w:rPr>
          <w:rFonts w:ascii="Times New Roman" w:hAnsi="Times New Roman" w:cs="Times New Roman" w:eastAsia="Times New Roman"/>
          <w:b/>
          <w:color w:val="000000"/>
          <w:spacing w:val="0"/>
          <w:position w:val="0"/>
          <w:sz w:val="24"/>
          <w:u w:val="single"/>
          <w:shd w:fill="auto" w:val="clear"/>
        </w:rPr>
        <w:t xml:space="preserve">ЗАГАЛЬНА ІНФОРМАЦІЯ</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Приватне акціонерне товариство "Ватутінський комбінат вогнетривів" (далі "Товариство") є юридичною особою, створеною відповідно до законодавства України. Приватне акціонерне товариство "Ватутінський комбінат вогнетривів", зареєстроване Виконавчим комітетом Ватутінської міської ради Черкаської області народних депутатів 20 липня 1995 року. </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Товариство є одним з найбільших в Україні Товариств з видобутку та переробки вторинних каолінів для спеціалізованих підприємств вогнетривкого комплексу з виробництва алюмосилікатних вогнетривів для металургії, енергетики, машинобудування, будівництва тощо. Сировинною базою Товариства є високоякісні вторинні каолiни, які розробляються зараз на Мурзинському родовищі. Товариство реалізує готову продукцію на ринку України та на експорт.</w:t>
        <w:tab/>
      </w:r>
    </w:p>
    <w:p>
      <w:pPr>
        <w:spacing w:before="0" w:after="0" w:line="259"/>
        <w:ind w:right="0" w:left="0" w:firstLine="567"/>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Товариство безпосередньо здійснює такі основні види фінансово-господарської діяльності:</w:t>
      </w:r>
    </w:p>
    <w:p>
      <w:pPr>
        <w:spacing w:before="0" w:after="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виробництво вогнетривких виробів;</w:t>
      </w:r>
    </w:p>
    <w:p>
      <w:pPr>
        <w:spacing w:before="0" w:after="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добування глини і каоліну;</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інше.</w:t>
      </w:r>
    </w:p>
    <w:p>
      <w:pPr>
        <w:spacing w:before="0" w:after="120" w:line="259"/>
        <w:ind w:right="0" w:left="0" w:firstLine="567"/>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Юридична адреса Товариства - вул. Індустріальна, 11, м. Ватутіне, Черкаської області, Україна, 20254.</w:t>
      </w:r>
    </w:p>
    <w:p>
      <w:pPr>
        <w:tabs>
          <w:tab w:val="left" w:pos="705" w:leader="none"/>
        </w:tabs>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tab/>
      </w:r>
      <w:r>
        <w:rPr>
          <w:rFonts w:ascii="Times New Roman" w:hAnsi="Times New Roman" w:cs="Times New Roman" w:eastAsia="Times New Roman"/>
          <w:b/>
          <w:color w:val="000000"/>
          <w:spacing w:val="0"/>
          <w:position w:val="0"/>
          <w:sz w:val="24"/>
          <w:u w:val="single"/>
          <w:shd w:fill="auto" w:val="clear"/>
        </w:rPr>
        <w:t xml:space="preserve">2. </w:t>
      </w:r>
      <w:r>
        <w:rPr>
          <w:rFonts w:ascii="Times New Roman" w:hAnsi="Times New Roman" w:cs="Times New Roman" w:eastAsia="Times New Roman"/>
          <w:b/>
          <w:color w:val="000000"/>
          <w:spacing w:val="0"/>
          <w:position w:val="0"/>
          <w:sz w:val="24"/>
          <w:u w:val="single"/>
          <w:shd w:fill="auto" w:val="clear"/>
        </w:rPr>
        <w:t xml:space="preserve">ОСНОВИ ПРЕДСТАВЛЕННЯ ФІНАНСОВОЇ ЗВІТНОСТІ</w:t>
      </w:r>
    </w:p>
    <w:p>
      <w:pPr>
        <w:tabs>
          <w:tab w:val="left" w:pos="705" w:leader="none"/>
        </w:tabs>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Ця фінансова звітність підготовлена відповідно до Міжнародних стандартів фінансової звітності (надалі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МСФЗ).</w:t>
      </w:r>
    </w:p>
    <w:p>
      <w:pPr>
        <w:tabs>
          <w:tab w:val="left" w:pos="7513" w:leader="none"/>
        </w:tabs>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Фінансова звітність Товариства підготовлена у відповідності з принципом оцінки за історичною вартістю. У фінансовій звітності надана порівняльна інформація за попередній період.</w:t>
      </w:r>
    </w:p>
    <w:p>
      <w:pPr>
        <w:tabs>
          <w:tab w:val="left" w:pos="705" w:leader="none"/>
        </w:tabs>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Функціональною валютою звітності є гривня. Звітність складена в тисячах гривень.</w:t>
      </w:r>
    </w:p>
    <w:p>
      <w:pPr>
        <w:tabs>
          <w:tab w:val="left" w:pos="705" w:leader="none"/>
        </w:tabs>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p>
    <w:p>
      <w:pPr>
        <w:keepNext w:val="true"/>
        <w:tabs>
          <w:tab w:val="left" w:pos="0" w:leader="none"/>
        </w:tabs>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ab/>
        <w:t xml:space="preserve">3. </w:t>
      </w:r>
      <w:r>
        <w:rPr>
          <w:rFonts w:ascii="Times New Roman" w:hAnsi="Times New Roman" w:cs="Times New Roman" w:eastAsia="Times New Roman"/>
          <w:b/>
          <w:color w:val="000000"/>
          <w:spacing w:val="0"/>
          <w:position w:val="0"/>
          <w:sz w:val="24"/>
          <w:u w:val="single"/>
          <w:shd w:fill="auto" w:val="clear"/>
        </w:rPr>
        <w:t xml:space="preserve">ОСНОВНІ ПРИНЦИПИ ОБЛІКОВОЇ ПОЛІТИКИ</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i/>
          <w:color w:val="000000"/>
          <w:spacing w:val="0"/>
          <w:position w:val="0"/>
          <w:sz w:val="24"/>
          <w:u w:val="single"/>
          <w:shd w:fill="auto" w:val="clear"/>
        </w:rPr>
        <w:tab/>
      </w:r>
      <w:r>
        <w:rPr>
          <w:rFonts w:ascii="Times New Roman" w:hAnsi="Times New Roman" w:cs="Times New Roman" w:eastAsia="Times New Roman"/>
          <w:b/>
          <w:color w:val="000000"/>
          <w:spacing w:val="0"/>
          <w:position w:val="0"/>
          <w:sz w:val="24"/>
          <w:u w:val="single"/>
          <w:shd w:fill="auto" w:val="clear"/>
        </w:rPr>
        <w:t xml:space="preserve">Основні засоби</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tab/>
      </w:r>
      <w:r>
        <w:rPr>
          <w:rFonts w:ascii="Times New Roman" w:hAnsi="Times New Roman" w:cs="Times New Roman" w:eastAsia="Times New Roman"/>
          <w:color w:val="000000"/>
          <w:spacing w:val="0"/>
          <w:position w:val="0"/>
          <w:sz w:val="24"/>
          <w:u w:val="single"/>
          <w:shd w:fill="auto" w:val="clear"/>
        </w:rPr>
        <w:t xml:space="preserve">Основні засоби враховуються у звіті про фінансовий стан за первісною вартістю, що включає всі витрати, необхідні для доведення активу до стану, придатного до використання, за вирахуванням накопиченої амортизації і збитків від знецінення.</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Капіталізовані витрати включають основні витрати на модернізацію і заміну частин активів, які збільшують термін їх корисної експлуатації або покращують їх здатність генерувати доходи.  Витрати на ремонт і обслуговування основних засобів, які не відповідають приведеним вище критеріям капіталізації, відображаються в звіті про сукупні доходи і витрати того періоду, в якому вони були понесені.</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Сума, що амортизується,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це первісна вартість об'єкту основних засобів або переоцінена вартість, за вирахуванням його ліквідаційної вартості.  Ліквідаційна вартість активу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це передбачувана сума, яку Товариство отримало б на даний момент від реалізації об'єкту основних засобів після вирахування очікуваних витрат на вибуття, якби даний актив вже досяг того віку і стану, в якому, </w:t>
      </w:r>
      <w:r>
        <w:rPr>
          <w:rFonts w:ascii="Times New Roman" w:hAnsi="Times New Roman" w:cs="Times New Roman" w:eastAsia="Times New Roman"/>
          <w:color w:val="auto"/>
          <w:spacing w:val="0"/>
          <w:position w:val="0"/>
          <w:sz w:val="24"/>
          <w:shd w:fill="auto" w:val="clear"/>
        </w:rPr>
        <w:t xml:space="preserve">ймовірно</w:t>
      </w:r>
      <w:r>
        <w:rPr>
          <w:rFonts w:ascii="Times New Roman" w:hAnsi="Times New Roman" w:cs="Times New Roman" w:eastAsia="Times New Roman"/>
          <w:color w:val="000000"/>
          <w:spacing w:val="0"/>
          <w:position w:val="0"/>
          <w:sz w:val="24"/>
          <w:u w:val="single"/>
          <w:shd w:fill="auto" w:val="clear"/>
        </w:rPr>
        <w:t xml:space="preserve">, він знаходитиметься в кінці свого терміну корисного використання.</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Амортизація основних засобів призначена для списання суми, що амортизується, впродовж терміну корисного використання активу і розраховується з використанням прямолінійного методу. </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Ліквідаційна вартість, терміни корисного використання і метод нарахування амортизації передивляються на кінець кожного фінансового року.  Вплив будь-яких змін, що виникають від оцінок, зроблених в попередні періоди, враховується як зміна облікової оцінки.</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Дохід або збиток, що виникають в результаті вибуття або ліквідації об'єкту основних засобів, визначається як різниця між сумами від продажу і балансовою вартістю активу і признається в прибутках і збитках. </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i/>
          <w:color w:val="000000"/>
          <w:spacing w:val="0"/>
          <w:position w:val="0"/>
          <w:sz w:val="24"/>
          <w:u w:val="single"/>
          <w:shd w:fill="auto" w:val="clear"/>
        </w:rPr>
        <w:tab/>
      </w:r>
      <w:r>
        <w:rPr>
          <w:rFonts w:ascii="Times New Roman" w:hAnsi="Times New Roman" w:cs="Times New Roman" w:eastAsia="Times New Roman"/>
          <w:b/>
          <w:color w:val="000000"/>
          <w:spacing w:val="0"/>
          <w:position w:val="0"/>
          <w:sz w:val="24"/>
          <w:u w:val="single"/>
          <w:shd w:fill="auto" w:val="clear"/>
        </w:rPr>
        <w:t xml:space="preserve">Нематеріальні активи</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Нематеріальні активи з кінцевими термінами використання, придбані в рамках окремих операцій, враховуються за вартістю придбання за вирахуванням накопиченої амортизації і накопиченого збитку від знецінення.  Амортизація нараховується рівномірно протягом терміну корисного використання нематеріальних активів.  Очікувані терміни корисного використання і метод нарахування амортизації аналізуються на кінець кожного звітного періоду, при цьому всі зміни в оцінках відбиваються в звітності без перерахування порівняльних показників.</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Нематеріальний актив списується при продажі або коли від його майбутнього використання або вибуття не очікується економічних </w:t>
      </w:r>
      <w:r>
        <w:rPr>
          <w:rFonts w:ascii="Times New Roman" w:hAnsi="Times New Roman" w:cs="Times New Roman" w:eastAsia="Times New Roman"/>
          <w:color w:val="auto"/>
          <w:spacing w:val="0"/>
          <w:position w:val="0"/>
          <w:sz w:val="24"/>
          <w:shd w:fill="auto" w:val="clear"/>
        </w:rPr>
        <w:t xml:space="preserve">вигод</w:t>
      </w:r>
      <w:r>
        <w:rPr>
          <w:rFonts w:ascii="Times New Roman" w:hAnsi="Times New Roman" w:cs="Times New Roman" w:eastAsia="Times New Roman"/>
          <w:color w:val="000000"/>
          <w:spacing w:val="0"/>
          <w:position w:val="0"/>
          <w:sz w:val="24"/>
          <w:u w:val="single"/>
          <w:shd w:fill="auto" w:val="clear"/>
        </w:rPr>
        <w:t xml:space="preserve">. Дохід або збиток від списання нематеріального активу, що є різницею між чистими сумами від вибуття і балансовою вартістю активу, включається в звіт про сукупні доходи і витрати в момент списання.</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ab/>
      </w:r>
      <w:r>
        <w:rPr>
          <w:rFonts w:ascii="Times New Roman" w:hAnsi="Times New Roman" w:cs="Times New Roman" w:eastAsia="Times New Roman"/>
          <w:b/>
          <w:color w:val="000000"/>
          <w:spacing w:val="0"/>
          <w:position w:val="0"/>
          <w:sz w:val="24"/>
          <w:u w:val="single"/>
          <w:shd w:fill="auto" w:val="clear"/>
        </w:rPr>
        <w:t xml:space="preserve">Знецінення основних засобів і нематеріальних активів</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Товариство проводить перевірку наявності індикаторів знецінення балансової вартості матеріальних і нематеріальних активів на кожну звітну дату.  В разі виявлення будь-яких таких індикаторів розраховується відшкодована вартість відповідного активу для визначення розміру збитку від знецінення (якщо такий є). Якщо неможливо оцінити відшкодовану вартість окремого активу, Товариство оцінює відшкодовану вартість генеруючої одиниці, до якої відноситься такий актив. </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Нематеріальні активи з невизначеним терміном корисного використання і нематеріальні активи, не готові до використання, оцінюються на предмет знецінення як мінімум щорік і при виявленні будь-яких ознак можливого знецінення.</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Відшкодована вартість визначається як більша із справедливої вартості активу за вирахуванням витрат на реалізацію і експлуатаційної цінності. При оцінці експлуатаційної цінності, очікувані майбутні потоки грошових коштів дисконтуються до приведеної вартості з використанням ставки дисконтування до оподаткування, що відображає поточну ринкову оцінку вартості грошей в часі і ризиків, властивих даному активу, відносно яких оцінка майбутніх грошових потоків не </w:t>
      </w:r>
      <w:r>
        <w:rPr>
          <w:rFonts w:ascii="Times New Roman" w:hAnsi="Times New Roman" w:cs="Times New Roman" w:eastAsia="Times New Roman"/>
          <w:color w:val="auto"/>
          <w:spacing w:val="0"/>
          <w:position w:val="0"/>
          <w:sz w:val="24"/>
          <w:shd w:fill="auto" w:val="clear"/>
        </w:rPr>
        <w:t xml:space="preserve">коригувалася</w:t>
      </w:r>
      <w:r>
        <w:rPr>
          <w:rFonts w:ascii="Times New Roman" w:hAnsi="Times New Roman" w:cs="Times New Roman" w:eastAsia="Times New Roman"/>
          <w:color w:val="000000"/>
          <w:spacing w:val="0"/>
          <w:position w:val="0"/>
          <w:sz w:val="24"/>
          <w:u w:val="single"/>
          <w:shd w:fill="auto" w:val="clear"/>
        </w:rPr>
        <w:t xml:space="preserve">.</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Якщо відшкодована вартість активу (або генеруючої одиниці) виявляється нижчою за його балансову вартість, балансова вартість цього активу (генеруючої одиниці) зменшується до відшкодованої вартості.  Збитки від знецінення відразу відображаються в прибутках і збитках, за винятком випадків, коли актив враховується за оціненою вартістю.  В цьому випадку збиток від знецінення враховується як зменшення резерву по переоцінці.</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У випадках, коли збиток від знецінення згодом відновлюється, балансова вартість активу (генеруючої одиниці) збільшується до суми, отриманої в результаті нової оцінки його відшкодованої вартості, так, щоб нова балансова вартість не перевищувала балансову вартість, яка була б визначена, якби по цьому активу (генеруючій одиниці) не був відображений збиток від знецінення в попередні роки. Відновлення збитку від знецінення відразу ж відображається в прибутках і збитках, за винятком випадків, коли актив враховується за оціненою вартістю.  В цьому випадку відновлення збитку від знецінення враховується як збільшення резерву по переоцінці.</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i/>
          <w:color w:val="000000"/>
          <w:spacing w:val="0"/>
          <w:position w:val="0"/>
          <w:sz w:val="24"/>
          <w:u w:val="single"/>
          <w:shd w:fill="auto" w:val="clear"/>
        </w:rPr>
        <w:tab/>
      </w:r>
      <w:r>
        <w:rPr>
          <w:rFonts w:ascii="Times New Roman" w:hAnsi="Times New Roman" w:cs="Times New Roman" w:eastAsia="Times New Roman"/>
          <w:b/>
          <w:color w:val="000000"/>
          <w:spacing w:val="0"/>
          <w:position w:val="0"/>
          <w:sz w:val="24"/>
          <w:u w:val="single"/>
          <w:shd w:fill="auto" w:val="clear"/>
        </w:rPr>
        <w:t xml:space="preserve">Необоротні активи, які утримуються для продажі</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i/>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Необоротні активи і групи вибуття, класифіковані як утримувані для продажі оцінюються по найменшій вартості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або балансовій вартості, або справедливій вартості за вирахуванням витрат на продаж. Необоротні активи, які утримуються для продажі, не підлягають амортизації.</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i/>
          <w:color w:val="000000"/>
          <w:spacing w:val="0"/>
          <w:position w:val="0"/>
          <w:sz w:val="24"/>
          <w:u w:val="single"/>
          <w:shd w:fill="auto" w:val="clear"/>
        </w:rPr>
        <w:tab/>
      </w:r>
      <w:r>
        <w:rPr>
          <w:rFonts w:ascii="Times New Roman" w:hAnsi="Times New Roman" w:cs="Times New Roman" w:eastAsia="Times New Roman"/>
          <w:b/>
          <w:color w:val="000000"/>
          <w:spacing w:val="0"/>
          <w:position w:val="0"/>
          <w:sz w:val="24"/>
          <w:u w:val="single"/>
          <w:shd w:fill="auto" w:val="clear"/>
        </w:rPr>
        <w:t xml:space="preserve">Фінансові інструменти</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Фінансові активи і фінансові зобов'язання визнаються, коли Товариство є стороною договірних відносин по відповідному фінансовому інструменту.</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Фінансові активи</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Фінансові активи Товариства представлені грошовими коштами та їхніми еквівалентами, позиками (за наявності), торговельною та іншою дебіторською заборгованістю.</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Первісне визнання</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Під час первісного визнання фінансові активи оцінюються за справедливою вартістю плюс (у випадку фінансового активу не за справедливою вартістю з відображенням переоцінки як прибутку або збитку) витрати на операцію, які прямо відносяться до придбання або випуску фінансового активу.</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В момент первісного визнання фінансових активів Товариство відносить їх до відповідної категорії в залежності від їх критеріїв. Цей розподіл здійснюється відповідно до двох критеріїв:</w:t>
      </w:r>
    </w:p>
    <w:p>
      <w:pPr>
        <w:numPr>
          <w:ilvl w:val="0"/>
          <w:numId w:val="1098"/>
        </w:numPr>
        <w:spacing w:before="0" w:after="0" w:line="259"/>
        <w:ind w:right="0" w:left="0" w:firstLine="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характеристики договірних грошових потоків (чи є вони виключно виплатою основної суми боргу та відсотків на неї); </w:t>
      </w:r>
    </w:p>
    <w:p>
      <w:pPr>
        <w:numPr>
          <w:ilvl w:val="0"/>
          <w:numId w:val="1098"/>
        </w:numPr>
        <w:spacing w:before="0" w:after="120" w:line="259"/>
        <w:ind w:right="0" w:left="0" w:firstLine="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бізнес-моделі, яка застосовується до цих активів (утримуються активи для погашення чи для продажі, чи для обох цілей).</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Фінансові активи поділяються на три категорії, для кожної з категорій після первісного визнання застосовуються свої правила оцінки та визнання прибутків та збитків:</w:t>
      </w:r>
    </w:p>
    <w:p>
      <w:pPr>
        <w:numPr>
          <w:ilvl w:val="0"/>
          <w:numId w:val="1101"/>
        </w:numPr>
        <w:spacing w:before="0" w:after="0" w:line="259"/>
        <w:ind w:right="0" w:left="0" w:firstLine="28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за амортизованою вартістю;</w:t>
      </w:r>
    </w:p>
    <w:p>
      <w:pPr>
        <w:numPr>
          <w:ilvl w:val="0"/>
          <w:numId w:val="1101"/>
        </w:numPr>
        <w:spacing w:before="0" w:after="0" w:line="259"/>
        <w:ind w:right="0" w:left="0" w:firstLine="28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за справедливою вартістю з визнанням її змін в іншому сукупному доході;</w:t>
      </w:r>
    </w:p>
    <w:p>
      <w:pPr>
        <w:numPr>
          <w:ilvl w:val="0"/>
          <w:numId w:val="1101"/>
        </w:numPr>
        <w:spacing w:before="0" w:after="120" w:line="259"/>
        <w:ind w:right="0" w:left="0" w:firstLine="28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за справедливою вартістю з визнанням її змін у прибутку або збитку.</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Всі звичайні операції з придбання й продажу фінансових активів відображаються на дату операції, тобто на дату, коли Компанія бере на себе зобов'язання з придбання активу. До звичайних операцій з придбання або продажу відносяться операції з придбання або продажу фінансових активів, умови яких вимагають передачі активів у строки, встановлені законодавством або (встановлені на відповідному ринку).</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Подальша оцінка</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Нижче описано вплив класифікації фінансових активів при їх первісному визнанні на їх подальшу оцінку:</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i/>
          <w:color w:val="000000"/>
          <w:spacing w:val="0"/>
          <w:position w:val="0"/>
          <w:sz w:val="24"/>
          <w:u w:val="single"/>
          <w:shd w:fill="auto" w:val="clear"/>
        </w:rPr>
        <w:t xml:space="preserve">Фінансові активи за справедливою вартістю з відображенням переоцінки як прибутку або збитку</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Категорія "фінансові активи за справедливою вартістю з відображенням переоцінки у прибутку або збитку" включає застосування бізнес-моделі, як утримувані для продажі, тобто якщо вони придбані для цілі продажу чи перепродажу у найближчий період. Такі активи придбаваються в основному з метою отримання прибутку від короткострокових коливань їх ціни. </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i/>
          <w:color w:val="000000"/>
          <w:spacing w:val="0"/>
          <w:position w:val="0"/>
          <w:sz w:val="24"/>
          <w:u w:val="single"/>
          <w:shd w:fill="auto" w:val="clear"/>
        </w:rPr>
        <w:t xml:space="preserve">Фінансові активи за амортизованою вартістю</w:t>
      </w:r>
    </w:p>
    <w:p>
      <w:pPr>
        <w:spacing w:before="0" w:after="120" w:line="259"/>
        <w:ind w:right="0" w:left="0" w:firstLine="692"/>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Фінансовий актив оцінюють за амортизованою собівартістю, якщо виконуються обидві такі умови:</w:t>
      </w:r>
    </w:p>
    <w:p>
      <w:pPr>
        <w:numPr>
          <w:ilvl w:val="0"/>
          <w:numId w:val="1105"/>
        </w:numPr>
        <w:tabs>
          <w:tab w:val="left" w:pos="993" w:leader="none"/>
        </w:tabs>
        <w:spacing w:before="0" w:after="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актив утримують в моделі бізнесу, мета якої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утримування активів задля збирання контрактних грошових потоків;</w:t>
      </w:r>
    </w:p>
    <w:p>
      <w:pPr>
        <w:numPr>
          <w:ilvl w:val="0"/>
          <w:numId w:val="1105"/>
        </w:numPr>
        <w:tabs>
          <w:tab w:val="left" w:pos="993" w:leader="none"/>
        </w:tabs>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контрактні умови фінансового активу передбачають у певні дати надходження грошових потоків, які є лише погашенням основної суми та сплатою відсотків на непогашену основну суму.</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i/>
          <w:color w:val="000000"/>
          <w:spacing w:val="0"/>
          <w:position w:val="0"/>
          <w:sz w:val="24"/>
          <w:u w:val="single"/>
          <w:shd w:fill="auto" w:val="clear"/>
        </w:rPr>
        <w:t xml:space="preserve">Дебіторська заборгованість</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Компанія класифікує свої фінансові активи як такі, що відображаються за амортизованою вартістю - позики та дебіторську заборгованість.</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Позики та дебіторська заборгованість - це непохідні фінансові активи з фіксованими платежами, які підлягають визначенню, та не мають котирування на активному ринку. Після первісного визнання ці фінансові активи класифікуються по бізнес-моделі, при якій фінансові активи утримуються для отримання платежів від дебіторів або інших компенсацій а отже, утримуються до погашення і обліковуються за амортизованою вартістю із використанням методу ефективної процентної ставки за мінусом резервів на знецінення. </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При первісному визнанні дебіторська заборгованість відображається за номінальною вартістю, яка також є амортизованою вартістю за відсутності відсотків, які нараховуються на неї.</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Прибутки та збитки за такими активами відображуються у звіті про сукупні доходи при припиненні визнання або зменшенні корисності таких активів, а також у процесі амортизації. Амортизація із застосуванням ефективної ставки відсотка включається до складу фінансових доходів в звіті про сукупні доходи.</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Дебіторська заборгованість відноситься до складу оборотних активів, за винятком заборгованості, строк погашення якої перевищує 12 місяців після звітної дати. Такі активи включаються до складу необоротних активів.</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i/>
          <w:color w:val="000000"/>
          <w:spacing w:val="0"/>
          <w:position w:val="0"/>
          <w:sz w:val="24"/>
          <w:u w:val="single"/>
          <w:shd w:fill="auto" w:val="clear"/>
        </w:rPr>
        <w:t xml:space="preserve">Довгострокова дебіторська заборгованість</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Довгострокова дебіторська заборгованість, первісно визнається за теперішньою (дисконтованою) вартістю суми до отримання, а в подальшому різниця між теперішньою вартістю при первісному визнанні та номінальною сумою амортизується і визнається відсотковим доходом.</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Амортизована вартість розраховується з урахуванням ефективної відсоткової ставки. Ефективна відсоткова ставка являє собою ставку, яка точно дисконтує очікувані майбутні надходження грошових коштів (у тому числі усі гонорари за договорами сплачені або отримані, які становлять невід’ємну частину ефективної відсоткової ставки, витрати на здійснення операції та інші премії або дисконти) протягом очікуваного строку використання боргового інструменту або, коли доцільно, коротшого періоду до чистої балансової вартості на момент первісного визнання.</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Амортизація на основі використання ефективної відсоткової ставки включається до складу фінансових доходів у звіті про прибутки та збитки. Збитки, зумовлені знеціненням, визнаються у звіті про прибуток або збиток у складі інших операційних витрат.</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i/>
          <w:color w:val="000000"/>
          <w:spacing w:val="0"/>
          <w:position w:val="0"/>
          <w:sz w:val="24"/>
          <w:u w:val="single"/>
          <w:shd w:fill="auto" w:val="clear"/>
        </w:rPr>
        <w:t xml:space="preserve">Передплати видані</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Аванси видані відображаються по фактичній вартості за вирахуванням резерву під знецінення. Сума авансів на придбання активу включається до його балансової вартості при отриманні Товариством контролю над цим активом та при наявності ймовірності того, що майбутні економічні вигоди, пов’язані з ним, будуть отримані. Інші аванси списуються на рахунок прибутків та збитків при отриманні товарів або послуг, що відносяться до них. За наявності ознак того, що активи, товари та послуги, що відносяться до авансів, не будуть отримані, балансова вартість авансів підлягає списанню, а відповідний збиток від знецінення відображається в складі прибутків та збитків. </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Аванси видані відносяться до довгострокових активів, коли товари або послуги, за які здійснена оплата, будуть отримані через один рік і пізніше, або коли аванси відносяться до активу, який після первісного визнання буде віднесений до категорії необоротних активів.</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Суми передплат i дебіторської заборгованості не зменшуються на суму розрахунків з податку на додану вартість, відповідно до яких українським законодавством передбачено відображення за спеціальними правилами, що включають виникнення зобов’язань/кредиту перед бюджетом за операціями, за якими дата виникнення зобов’язань/кредиту виникає у періоді фактичної сплати за товари, роботи, послуги (касовий метод) та податкового кредиту при відсутності податкових накладних. Суми розрахунків з податку на додану вартість, відповідно до яких українським законодавством передбачено відображення за спеціальними правилами, відображаються у складі інших поточних зобов’язань.</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i/>
          <w:color w:val="000000"/>
          <w:spacing w:val="0"/>
          <w:position w:val="0"/>
          <w:sz w:val="24"/>
          <w:u w:val="single"/>
          <w:shd w:fill="auto" w:val="clear"/>
        </w:rPr>
        <w:t xml:space="preserve">Припинення визнання</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Визнання фінансового активу (або, де доречно, частини фінансового активу, або частини групи подібних фінансових активів) припиняється, якщо:</w:t>
      </w:r>
    </w:p>
    <w:p>
      <w:pPr>
        <w:numPr>
          <w:ilvl w:val="0"/>
          <w:numId w:val="1108"/>
        </w:numPr>
        <w:tabs>
          <w:tab w:val="left" w:pos="851" w:leader="none"/>
        </w:tabs>
        <w:spacing w:before="0" w:after="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строк дії контрактних прав Товариства на грошові потоки від фінансового активу закінчився;</w:t>
      </w:r>
    </w:p>
    <w:p>
      <w:pPr>
        <w:numPr>
          <w:ilvl w:val="0"/>
          <w:numId w:val="1108"/>
        </w:numPr>
        <w:tabs>
          <w:tab w:val="left" w:pos="851" w:leader="none"/>
        </w:tabs>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Товариство передає фінансовий актив і ця передача відповідає критеріям для припинення визнання фінансового активу, тобто Товариство не зберігає контроль над переданим активом.</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Переданий фінансовий актив та визнане зобов'язання оцінюються на основі, яка відображає права та зобов'язання Товариства, створені або збереженні при передачі активу.</w:t>
      </w:r>
    </w:p>
    <w:p>
      <w:pPr>
        <w:tabs>
          <w:tab w:val="left" w:pos="426" w:leader="none"/>
        </w:tabs>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i/>
          <w:color w:val="000000"/>
          <w:spacing w:val="0"/>
          <w:position w:val="0"/>
          <w:sz w:val="24"/>
          <w:u w:val="single"/>
          <w:shd w:fill="auto" w:val="clear"/>
        </w:rPr>
        <w:tab/>
      </w:r>
      <w:r>
        <w:rPr>
          <w:rFonts w:ascii="Times New Roman" w:hAnsi="Times New Roman" w:cs="Times New Roman" w:eastAsia="Times New Roman"/>
          <w:b/>
          <w:i/>
          <w:color w:val="000000"/>
          <w:spacing w:val="0"/>
          <w:position w:val="0"/>
          <w:sz w:val="24"/>
          <w:u w:val="single"/>
          <w:shd w:fill="auto" w:val="clear"/>
        </w:rPr>
        <w:t xml:space="preserve">Знецінення фінансових активів</w:t>
      </w:r>
    </w:p>
    <w:p>
      <w:pPr>
        <w:spacing w:before="0" w:after="120" w:line="259"/>
        <w:ind w:right="0" w:left="0" w:firstLine="692"/>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МСФЗ 9 "Фінансові інструменти" вимагає створення резервів під очікувані кредитні збитки, тобто збитки від знецінення, які можуть статися в майбутньому, навіть з мінімальною ймовірністю. Товариство створює резерв під очікувані кредитні збитки з моменту первісного визнання активу.</w:t>
      </w:r>
    </w:p>
    <w:p>
      <w:pPr>
        <w:spacing w:before="0" w:after="120" w:line="259"/>
        <w:ind w:right="0" w:left="0" w:firstLine="692"/>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Товариство застосовує підхід формування резерву під знецінення з використання матриці резервування за якою резерви на покриття збитків розраховуються щодо дебіторської заборгованості по аналізу платоспроможності покупця. Вихідними даними для матриць резервування, є історичні дані щодо прострочення платежів, отримання оплати по простроченій заборгованості та прогнозна інформація.</w:t>
      </w:r>
    </w:p>
    <w:p>
      <w:pPr>
        <w:spacing w:before="0" w:after="120" w:line="259"/>
        <w:ind w:right="0" w:left="0" w:firstLine="692"/>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Формування резервів під очікувані кредитні збитки Товариством проводиться наприкінці кожного звітного періоду шляхом проведення відповідного аналізу згідно проведених розрахунків.</w:t>
      </w:r>
    </w:p>
    <w:p>
      <w:pPr>
        <w:spacing w:before="0" w:after="120" w:line="259"/>
        <w:ind w:right="0" w:left="0" w:firstLine="692"/>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Балансова вартість активу зменшується за рахунок відповідного резерву під очікувані кредитні збитки, а сума збитку визнається у звіті про прибутки та збитки.</w:t>
      </w:r>
    </w:p>
    <w:p>
      <w:pPr>
        <w:spacing w:before="0" w:after="120" w:line="259"/>
        <w:ind w:right="0" w:left="0" w:firstLine="692"/>
        <w:jc w:val="both"/>
        <w:rPr>
          <w:rFonts w:ascii="Times New Roman" w:hAnsi="Times New Roman" w:cs="Times New Roman" w:eastAsia="Times New Roman"/>
          <w:color w:val="000000"/>
          <w:spacing w:val="0"/>
          <w:position w:val="0"/>
          <w:sz w:val="22"/>
          <w:u w:val="single"/>
          <w:shd w:fill="auto" w:val="clear"/>
        </w:rPr>
      </w:pPr>
      <w:r>
        <w:rPr>
          <w:rFonts w:ascii="Times New Roman" w:hAnsi="Times New Roman" w:cs="Times New Roman" w:eastAsia="Times New Roman"/>
          <w:color w:val="000000"/>
          <w:spacing w:val="0"/>
          <w:position w:val="0"/>
          <w:sz w:val="24"/>
          <w:u w:val="single"/>
          <w:shd w:fill="auto" w:val="clear"/>
        </w:rPr>
        <w:t xml:space="preserve">Повернення раніше списаних сум визнається доходом у звіті про прибутки та збитки.</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i/>
          <w:color w:val="000000"/>
          <w:spacing w:val="0"/>
          <w:position w:val="0"/>
          <w:sz w:val="24"/>
          <w:u w:val="single"/>
          <w:shd w:fill="auto" w:val="clear"/>
        </w:rPr>
        <w:t xml:space="preserve">Грошові кошти та їх еквіваленти</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Грошові кошти та їх еквіваленти включають грошові кошти в касі та грошові кошти на рахунках в банках із початковим терміном погашення до трьох місяців.</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Усі інші грошові кошти та їх еквіваленти, які не можна використати для операцій протягом одного року, починаючи з дати балансу або протягом операційного циклу внаслідок обмежень, виключаються зі складу оборотних активів та відображаються як необоротні активи, щодо яких на дату балансу Товариство оцінює наявність ознак, що свідчать про втрати від зменшення корисності. </w:t>
      </w:r>
    </w:p>
    <w:p>
      <w:pPr>
        <w:spacing w:before="0" w:after="120" w:line="259"/>
        <w:ind w:right="0" w:left="0" w:firstLine="69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Товариство формує звіт про рух грошових коштів за прямим методом.</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ab/>
      </w:r>
      <w:r>
        <w:rPr>
          <w:rFonts w:ascii="Times New Roman" w:hAnsi="Times New Roman" w:cs="Times New Roman" w:eastAsia="Times New Roman"/>
          <w:b/>
          <w:i/>
          <w:color w:val="000000"/>
          <w:spacing w:val="0"/>
          <w:position w:val="0"/>
          <w:sz w:val="24"/>
          <w:u w:val="single"/>
          <w:shd w:fill="auto" w:val="clear"/>
        </w:rPr>
        <w:t xml:space="preserve">Фінансові зобов’язання</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Фінансові зобов'язання класифікуються, відповідно, як фінансові зобов'язання за справедливою вартістю з відображенням переоцінки як прибутку або збитку, та інші фінансові зобов'язання, які оцінюються за амортизованою собівартістю за методом ефективної ставки відсотка.</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Під час первісного визнання фінансові зобов'язання оцінюються за справедливою вартістю плюс (у випадку фінансового зобов'язання не за справедливою вартістю з відображенням переоцінки як прибутку або збитку) витрати на операцію, які прямо відносяться до придбання або випуску фінансового зобов'язання.</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Фінансові зобов'язання Товариства включають кредити, торгову та іншу кредиторську заборгованість.</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Всі фінансові зобов'язання класифікуються як такі, що у подальшому оцінюються за амортизованою собівартістю, за методом ефективної ставки відсотка, за винятком фінансових зобов'язання за справедливою вартістю з відображенням результату переоцінки у прибутку або збитку. Такі зобов'язання, у подальшому оцінюються за справедливою вартістю.</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Поточна кредиторська заборгованість відображається за собівартістю, яка являється справедливою вартістю компенсації, що повинна бути передана в майбутньому за отримані товари, роботи, послуги незалежно від того, чи були виставлені рахунки Товариству.</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До поточних зобов'язань Товариства включаються: короткострокові кредити банків; поточна заборгованість за довгостроковими зобов'язаннями; короткострокові векселі видані; кредиторська заборгованість за товари, роботи, послуги; поточна заборгованість за розрахунками з одержаних авансів, за розрахунками з бюджетом, за розрахунками з позабюджетних платежів, за розрахунками зі страхування, за розрахунками з оплати праці, за розрахунками з учасниками, поточні забезпечення, інші поточні зобов'язання.</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Передплати, отримані Товариством, визнаються за первісно отриманими сумами.</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Заборгованість, строк погашення якої більше одного року від дати складання фінансової звітності, відноситься до складу довгострокової заборгованості. На дату складання фінансової звітності така заборгованість відображається за амортизованою вартістю. </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До довгострокових зобов'язань належать: довгострокові кредити банків; інші довгострокові фінансові зобов'язання; відстрочені податкові зобов'язання; довгострокові забезпечення та довгострокові зобов’язання.</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Кредити та позики визнаються спочатку за справедливою вартістю, за вирахуванням будь-яких витрат на здійснення операцій. Після первісного визнання банківські кредити та позики відображаються за амортизованою вартістю з будь-якими різницями між первісною вартістю та вартістю погашення, яка визнається у звіті про прибутки та збитки протягом періоду їх залучення.</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У випадку, якщо позики викуповуються або зараховуються до погашення, будь-яка різниця між сумою погашення та балансовою вартістю визнається негайно у звіті про прибутки та збитки.</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Для визначення ринкової відсоткової ставки використовується середньозважений курс кредитів за останні 3 місяці згідно статистичних даних Національного банку України на дату отримання кредиту або на дату зміни умов договору із врахуванням індексу інфляції.</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Аналітичний облік зобов’язань ведеться окремо за кожним постачальником та підрядником в розрізі кожного договору (при його відсутності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рахунку).</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i/>
          <w:color w:val="000000"/>
          <w:spacing w:val="0"/>
          <w:position w:val="0"/>
          <w:sz w:val="24"/>
          <w:u w:val="single"/>
          <w:shd w:fill="auto" w:val="clear"/>
        </w:rPr>
        <w:tab/>
      </w:r>
      <w:r>
        <w:rPr>
          <w:rFonts w:ascii="Times New Roman" w:hAnsi="Times New Roman" w:cs="Times New Roman" w:eastAsia="Times New Roman"/>
          <w:b/>
          <w:color w:val="000000"/>
          <w:spacing w:val="0"/>
          <w:position w:val="0"/>
          <w:sz w:val="24"/>
          <w:u w:val="single"/>
          <w:shd w:fill="auto" w:val="clear"/>
        </w:rPr>
        <w:t xml:space="preserve">Витрати на позики</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Витрати на позики, які безпосередньо відносяться до придбання, будівництва або виробництва кваліфікованого активу, тобто активу, підготовка якого до передбачуваного використання або для продажі обов'язково вимагає значного часу (більше трьох місяців), додаються до вартості даних активів до тих пір, поки ці активи не будуть, в основному, готові до передбаченого використання або для продажу. Всі інші витрати на позики визнаються у складі звіту про сукупні доходи та витратах того періоду, в якому вони понесені.</w:t>
      </w:r>
    </w:p>
    <w:p>
      <w:pPr>
        <w:spacing w:before="0" w:after="120" w:line="259"/>
        <w:ind w:right="0" w:left="0" w:firstLine="72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Забезпечення</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Забезпечення визнаються, коли у Товариства є поточне зобов'язання (юридичне або конструктивне), що виникло в результаті минулих подій, для погашення якого, ймовірно, потрібне вибуття ресурсів, що втілюють економічний потенціал, і при цьому можна здійснити достовірну оцінку даного зобов'язання.</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З метою рівномірного розподілу затрат протягом звітного року Товариством створено резерв для забезпечення оплати відпусток та для забезпечення виплат премій згідно умов трудових контрактів. Сума забезпечення оплати відпусток нараховується щомісяця, виходячи із показників фактично нарахованої заробітної плати та днів невикористаних відпусток працівників. Сума забезпечення виплат премій нараховується виходячи з річного розрахунку згідно умов трудових контрактів.  </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В кінці кожного року проводиться інвентаризація невикористаних відпусток та розміру резерву для забезпечення оплати відпусток і, при необхідності, проводиться коригування  розміру резерву для забезпечення оплати відпусток. </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З метою рівномірного розподілу витрат на рекультивацію земель, використаних для видобутку каоліну, створюються забезпечення на відновлення земельних ділянок. Суму забезпечень на відновлення земельних ділянок Мурзинського каолінового кар'єру, Новоселицького каолінового кар'єру та забезпечення відтворення Південної ділянки Мурзинського каолінового кар'єру нараховуються відповідно до даних завідувача гірничими роботами (Об</w:t>
      </w:r>
      <w:r>
        <w:rPr>
          <w:rFonts w:ascii="Times New Roman" w:hAnsi="Times New Roman" w:cs="Times New Roman" w:eastAsia="Times New Roman"/>
          <w:color w:val="000000"/>
          <w:spacing w:val="0"/>
          <w:position w:val="0"/>
          <w:sz w:val="24"/>
          <w:u w:val="single"/>
          <w:shd w:fill="auto" w:val="clear"/>
        </w:rPr>
        <w:t xml:space="preserve">ґрунтування грошових витрат на закриття кар’єрів). Сума забезпечення може бути переглянута протягом року (за потребою) на підставі даних розрахунку, що виконується завідувачем гірничими роботами.</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ab/>
      </w:r>
      <w:r>
        <w:rPr>
          <w:rFonts w:ascii="Times New Roman" w:hAnsi="Times New Roman" w:cs="Times New Roman" w:eastAsia="Times New Roman"/>
          <w:b/>
          <w:color w:val="000000"/>
          <w:spacing w:val="0"/>
          <w:position w:val="0"/>
          <w:sz w:val="24"/>
          <w:u w:val="single"/>
          <w:shd w:fill="auto" w:val="clear"/>
        </w:rPr>
        <w:t xml:space="preserve">Запаси</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Запаси складаються, головним чином, із сировини та матеріалів, які призначені для використання у виробництві готової продукції, безпосередньо готової продукції та незавершеного виробництва.</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Товарно-матеріальні запаси відображаються по найменшій із вартості придбання чи чистої вартості реалізації. При відпуску запасів у виробництво, з виробництва, продаж та іншому вибутті оцінка їх здійснюється за методом ФІФО. Вартість запасів власного виробництва та вартість незавершеного виробництва включає відповідну долю загальновиробничих витрат.             </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З метою достовірного відображення вартості запасів в балансі Товариства у випадку виявлення запасів із невідповідними показниками якості створюється резерв знецінення запасів виходячи з оцінки запасів за ціною можливої реалізації.                                                                       </w:t>
      </w:r>
    </w:p>
    <w:p>
      <w:pPr>
        <w:tabs>
          <w:tab w:val="left" w:pos="1128" w:leader="none"/>
        </w:tabs>
        <w:spacing w:before="0" w:after="120" w:line="259"/>
        <w:ind w:right="0" w:left="0" w:firstLine="0"/>
        <w:jc w:val="both"/>
        <w:rPr>
          <w:rFonts w:ascii="Times New Roman" w:hAnsi="Times New Roman" w:cs="Times New Roman" w:eastAsia="Times New Roman"/>
          <w:color w:val="000000"/>
          <w:spacing w:val="0"/>
          <w:position w:val="0"/>
          <w:sz w:val="24"/>
          <w:u w:val="single"/>
          <w:shd w:fill="FFFFFF" w:val="clear"/>
        </w:rPr>
      </w:pP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Транспортно-заготівельні витрати, пов'язані з придбанням запасів, відносяться на вартість тих запасів, у зв'язку з придбанням яких ці витрати понесені. При неможливості віднесення транспортно-заготівельних витрат на конкретний вид запасів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вони відносяться на окремий рахунок обліку з подальшим їх розподіленням при </w:t>
      </w:r>
      <w:r>
        <w:rPr>
          <w:rFonts w:ascii="Times New Roman" w:hAnsi="Times New Roman" w:cs="Times New Roman" w:eastAsia="Times New Roman"/>
          <w:color w:val="000000"/>
          <w:spacing w:val="0"/>
          <w:position w:val="0"/>
          <w:sz w:val="24"/>
          <w:u w:val="single"/>
          <w:shd w:fill="FFFFFF" w:val="clear"/>
        </w:rPr>
        <w:t xml:space="preserve">списанні ТМЦ.</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ab/>
      </w:r>
      <w:r>
        <w:rPr>
          <w:rFonts w:ascii="Times New Roman" w:hAnsi="Times New Roman" w:cs="Times New Roman" w:eastAsia="Times New Roman"/>
          <w:b/>
          <w:color w:val="000000"/>
          <w:spacing w:val="0"/>
          <w:position w:val="0"/>
          <w:sz w:val="24"/>
          <w:u w:val="single"/>
          <w:shd w:fill="auto" w:val="clear"/>
        </w:rPr>
        <w:t xml:space="preserve">Податок на прибуток</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Витрати з податку на прибуток або збиток за рік являють собою суму поточного та відстроченого податку.</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i/>
          <w:color w:val="000000"/>
          <w:spacing w:val="0"/>
          <w:position w:val="0"/>
          <w:sz w:val="24"/>
          <w:u w:val="single"/>
          <w:shd w:fill="auto" w:val="clear"/>
        </w:rPr>
        <w:t xml:space="preserve">Поточний податок</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Сума поточного податку визначається, виходячи з величини оподатковуваного прибутку за рік. Оподатковуваний прибуток відрізняється від прибутку, відображеного у звіті про сукупні доходи або витрати, через статті доходів або витрат, що підлягають оподаткуванню або вирахуванню для цілей оподаткування в інші періоди, а також виключає статті, які взагалі не підлягають оподаткуванню або вирахуванню для цілей оподаткування. Зобов'язання щодо поточного податку на прибуток розраховується з використанням ставок оподаткування, встановлених законодавством, що набрали чинності на звітну дату.</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i/>
          <w:color w:val="000000"/>
          <w:spacing w:val="0"/>
          <w:position w:val="0"/>
          <w:sz w:val="24"/>
          <w:u w:val="single"/>
          <w:shd w:fill="auto" w:val="clear"/>
        </w:rPr>
        <w:t xml:space="preserve">Відстрочений податок</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Відстрочений податок визнається у відношенні тимчасових різниць між балансовою вартістю активів та зобов'язань, відображених у фінансовій звітності, та відповідними даними податкового обліку, використовуваними при розрахунку оподатковуваного прибутку. Відкладені податкові зобов'язання, як правило, відображаються з урахуванням всіх оподатковуваних тимчасових різниць. Відстрочені податкові активи відображаються з урахуванням всіх тимчасових різниць за умови високої ймовірності отримання в майбутньому оподатковуваного прибутку, достатнього для використання цих тимчасових різниць. Податкові активи та зобов'язання не відображаються у фінансовій звітності, якщо тимчасові різниці пов'язані з гудвілом або виникають внаслідок первісного визнання інших активів і зобов'язань в рамках угод (крім угод по об'єднанню бізнесу), які не впливають ні на оподатковуваний, ні на бухгалтерський прибуток.</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333333"/>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Балансова вартість відстрочених податкових активів переглядається на кінець кожного звітного періоду і зменшується, якщо ймовірність отримання в майбутньому оподатковуваного прибутку, достатньої для повного або часткового використання цих активів, більш не є високою.</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Відстрочені податкові активи та зобов'язання з податку на прибуток розраховуються з використанням ставок оподаткування (а також положень податкового законодавства), встановлених законодавством, що набрали або практично набрали чинності на звітну дату, які імовірно діятимуть у період реалізації податкового активу або погашення зобов'язання. Оцінка відстрочених податкових зобов'язань і активів відображає податкові наслідки намірів Товариства (станом на звітну дату) у відношенні способів відшкодування або погашення балансової вартості активів та зобов'язань.</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Відстрочені податкові активи та зобов'язання показуються у звітності згорнуто, якщо існує законне право провести взаємозалік поточних податкових активів і зобов'язань, що відносяться до податку на прибуток, що справляється одним і тим самим податковим органом, і Товариство має намір здійснити взаємозалік поточних податкових активів і зобов'язань.</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i/>
          <w:color w:val="000000"/>
          <w:spacing w:val="0"/>
          <w:position w:val="0"/>
          <w:sz w:val="24"/>
          <w:u w:val="single"/>
          <w:shd w:fill="auto" w:val="clear"/>
        </w:rPr>
        <w:t xml:space="preserve">Поточний та відстрочений податки за період</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Поточні та відстрочені податки визнаються в прибутках і збитках, крім випадків, коли вони відносяться до статей, які безпосередньо відносяться до складу іншого сукупного доходу або власного капіталу. У цьому випадку відповідний податок також визнається в іншому сукупному прибутку або безпосередньо в капіталі відповідно. </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ab/>
      </w:r>
      <w:r>
        <w:rPr>
          <w:rFonts w:ascii="Times New Roman" w:hAnsi="Times New Roman" w:cs="Times New Roman" w:eastAsia="Times New Roman"/>
          <w:b/>
          <w:color w:val="000000"/>
          <w:spacing w:val="0"/>
          <w:position w:val="0"/>
          <w:sz w:val="24"/>
          <w:u w:val="single"/>
          <w:shd w:fill="auto" w:val="clear"/>
        </w:rPr>
        <w:t xml:space="preserve">Пенсійні зобов’язання  </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333333"/>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Державний пенсійний план з визначеними внесками - Товариство здійснює внески в Державний пенсійний фонд України виходячи з заробітної плати кожного працівника. Витрати Товариства за такими внесками включені до статті "Відрахування на соціальні заходи". Дана сума включається до витрат того періоду, коли вони фактично понесені. </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333333"/>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Крім того, Товариство відповідно до вимог законодавства України здійснює відшкодування витрат Державного пенсійного фонду України на виплату і доставку пенсій, призначених працівникам Товариства на пільгових умовах за роботу у важких і шкідливих умовах праці. Витрати Товариства за такими платежами включені до статті "Інші операційні витрати". Дана сума включається до витрат того періоду, коли вони фактично понесені. </w:t>
      </w:r>
    </w:p>
    <w:p>
      <w:pPr>
        <w:spacing w:before="0" w:after="120" w:line="259"/>
        <w:ind w:right="0" w:left="0" w:firstLine="74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Виручка за договорами з покупцями</w:t>
      </w:r>
      <w:r>
        <w:rPr>
          <w:rFonts w:ascii="Times New Roman" w:hAnsi="Times New Roman" w:cs="Times New Roman" w:eastAsia="Times New Roman"/>
          <w:color w:val="000000"/>
          <w:spacing w:val="0"/>
          <w:position w:val="0"/>
          <w:sz w:val="24"/>
          <w:u w:val="single"/>
          <w:shd w:fill="auto" w:val="clear"/>
        </w:rPr>
        <w:t xml:space="preserve"> </w:t>
      </w:r>
    </w:p>
    <w:p>
      <w:pPr>
        <w:spacing w:before="0" w:after="120" w:line="259"/>
        <w:ind w:right="0" w:left="0" w:firstLine="74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Товариство визнає виручку, відображаючи передачу обіцяних товарів або послуг покупцю в сумі, що відображає відшкодування, яке Товариство розраховує отримати в обмін на ці товари або послуги.</w:t>
      </w:r>
    </w:p>
    <w:p>
      <w:pPr>
        <w:spacing w:before="0" w:after="120" w:line="259"/>
        <w:ind w:right="0" w:left="0" w:firstLine="74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Виручка визнається в момент, коли кожне зобов'язання задоволено. Зобов'язання вважаються виконаними, коли організація передає контроль над обіцяними товарами або послугами покупцю. Це відбувається, коли покупець отримує пряме володіння над товарами або послугами або може отримати від них всі вигоди, що залишилися. </w:t>
      </w:r>
    </w:p>
    <w:p>
      <w:pPr>
        <w:spacing w:before="0" w:after="120" w:line="259"/>
        <w:ind w:right="0" w:left="0" w:firstLine="74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Визнання доходу (виручки) для цілей бухгалтерського обліку та відображення в фінансовій звітності Товариства здійснюється, виходячи з умов, прописаних в індивідуальному договорі з клієнтом.</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Ціна операції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величина компенсації, на яку Товариство очікує мати право в обмін на передачу клієнтові товарів або послуг, за винятком сум, зібраних від імені третіх сторін.              </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Така ціна враховує:</w:t>
      </w:r>
    </w:p>
    <w:p>
      <w:pPr>
        <w:numPr>
          <w:ilvl w:val="0"/>
          <w:numId w:val="1128"/>
        </w:numPr>
        <w:spacing w:before="0" w:after="0" w:line="259"/>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змінну компенсацію (включно із застосуванням обмежень);</w:t>
      </w:r>
    </w:p>
    <w:p>
      <w:pPr>
        <w:numPr>
          <w:ilvl w:val="0"/>
          <w:numId w:val="1128"/>
        </w:numPr>
        <w:spacing w:before="0" w:after="0" w:line="259"/>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компенсацію, що має бути сплачена клієнтові;</w:t>
      </w:r>
    </w:p>
    <w:p>
      <w:pPr>
        <w:numPr>
          <w:ilvl w:val="0"/>
          <w:numId w:val="1128"/>
        </w:numPr>
        <w:spacing w:before="0" w:after="0" w:line="259"/>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негрошову компенсацію;</w:t>
      </w:r>
    </w:p>
    <w:p>
      <w:pPr>
        <w:numPr>
          <w:ilvl w:val="0"/>
          <w:numId w:val="1128"/>
        </w:numPr>
        <w:spacing w:before="0" w:after="120" w:line="259"/>
        <w:ind w:right="0" w:left="714" w:hanging="357"/>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наявність в договорі істотного компоненту фінансування.</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tab/>
      </w:r>
      <w:r>
        <w:rPr>
          <w:rFonts w:ascii="Times New Roman" w:hAnsi="Times New Roman" w:cs="Times New Roman" w:eastAsia="Times New Roman"/>
          <w:color w:val="000000"/>
          <w:spacing w:val="0"/>
          <w:position w:val="0"/>
          <w:sz w:val="24"/>
          <w:u w:val="single"/>
          <w:shd w:fill="auto" w:val="clear"/>
        </w:rPr>
        <w:t xml:space="preserve">Ціна товару, а отже ціна операції, яка передбачена в договорі Товариства з клієнтами (покупцями), може включати фіксовані суми та/або змінні суми. Сума компенсації, обіцяна Товариством покупцю в договорі, може змінюватися залежно від знижок, дисконтів, відшкодувань, набраних балів, цінових поступок, стимулів, бонусів, за результатами роботи, штрафів або інших подібних чинників. Також, сума обіцяної компенсації може змінюватися, якщо право Товариства на компенсацію залежить від настання або ненастання певної майбутньої події.</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В тому числі, зміна компенсації може бути передбачена прямо в договорі або врахована шляхом внесення змін (укладення додаткових угод) до договору, зокрема й через пред'явлення дебет/кредит-нот клієнту (покупцю). Така зміна компенсації погоджується сторонами договору (Товариством та його контрагентом-покупцем) та передбачає, не виключно, збільшення (зменшення) ціни операцій відповідно до кількості товару та/або попередньої ціни продажу тощо. В залежності від умов договорів поставки (продажу) та документального оформлення збільшення ціни операцій, Товариство може визнавати доходи (або їх зменшення) шляхом віднесення в періоді визнання такої операції із збільшення (зменшення) операції на вартість окремої поставки пропорційно кількості проданої продукції, попередньо визначеної вартості або ціни продажу, тощо.</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Товариство включає в ціну операції суму змінної компенсації (або її частину), якщо існує висока ймовірність того, що коли невизначеність, пов'язана зі змінною компенсацією, буде в основному вирішена, значного відновлення суми визнаного кумулятивного доходу від звичайної діяльності не відбудеться.</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На збільшення/зменшення ймовірності можуть впливати безліч факторів, зокрема такі на які вплив Товариство не має (наприклад, попит на продукцію яка виробляється Товариством, законодавчі обмеження тощо) та внутрішні чинники (прогнозна, поточна ситуація економічна ситуація, існуюча практика діяльності тощо).  </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Крім того, Товариство може також вносити зміни до існуючих договорів, які передбачають нові, або змінюють існуючі юридично обов’язкові права та обов'язки сторін договору (Товариства та її клієнта (клієнтів)). </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Такими змінами можуть бути, зокрема, але не виключно: зміни щодо обсягу або ціни (або і те, й інше),  або суми компенсації тощо. </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Сторони договору можуть затверджувати зміни до існуючого договору письмово, за усною домовленістю або за звичною практикою ведення бізнесу. </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Модифікація договору (зміни до договору) може призводити до того, що нові домовленості сторін в т. ч. зміна існуючих умов договору впливає на бухгалтерський облік та визнання в фінансовій звітності Товариство отриманих доходів за цим договором як перспективно так і ретроспективно. Відповідно, у тому випадку, якщо змінені умови договору стосуються операцій, які вже відбулись, то відповідно така модифікація договору обліковується так, ніби вона є частиною первісного договору. </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Вплив модифікації договору на ціну операції, а також на оцінку Товариством прогресу на шляху до повного здійснення зобов'язання щодо виконання визнається як коригування доходу (або як збільшення, або як зменшення доходу від звичайної діяльності) на дату модифікації договору (тобто коригування доходу від звичайної діяльності здійснюється на кумулятивній поетапній основі).</w:t>
      </w:r>
    </w:p>
    <w:p>
      <w:pPr>
        <w:spacing w:before="0" w:after="120" w:line="259"/>
        <w:ind w:right="0" w:left="0" w:firstLine="74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Товариство застосовує три сценарії для визнання виручки протягом певного періоду:</w:t>
      </w:r>
    </w:p>
    <w:p>
      <w:pPr>
        <w:numPr>
          <w:ilvl w:val="0"/>
          <w:numId w:val="1132"/>
        </w:numPr>
        <w:spacing w:before="0" w:after="120" w:line="259"/>
        <w:ind w:right="0" w:left="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клієнт отримує та споживає вигоди від результатів роботи виконавця в міру виконання ним робіт;</w:t>
      </w:r>
    </w:p>
    <w:p>
      <w:pPr>
        <w:numPr>
          <w:ilvl w:val="0"/>
          <w:numId w:val="1132"/>
        </w:numPr>
        <w:spacing w:before="0" w:after="120" w:line="259"/>
        <w:ind w:right="0" w:left="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результати роботи виконавця створюють або поліпшують актив під час роботи (наприклад, будівництва), контрольований клієнтом;</w:t>
      </w:r>
    </w:p>
    <w:p>
      <w:pPr>
        <w:numPr>
          <w:ilvl w:val="0"/>
          <w:numId w:val="1132"/>
        </w:numPr>
        <w:spacing w:before="0" w:after="120" w:line="259"/>
        <w:ind w:right="0" w:left="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актив, що створюється у міру виконання робіт, не може бути використаний виконавцем з іншою метою, плюс виконавець має право на оплату робіт, виконаних на поточну дату.</w:t>
      </w:r>
    </w:p>
    <w:p>
      <w:pPr>
        <w:spacing w:before="0" w:after="120" w:line="259"/>
        <w:ind w:right="0" w:left="0" w:firstLine="74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Якщо угода не відповідає жодному з вищеописаних сценаріїв, виручка визнається одномоментно під час переходу контролю над товаром клієнту.</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b/>
          <w:color w:val="000000"/>
          <w:spacing w:val="0"/>
          <w:position w:val="0"/>
          <w:sz w:val="24"/>
          <w:u w:val="single"/>
          <w:shd w:fill="auto" w:val="clear"/>
        </w:rPr>
        <w:t xml:space="preserve">Перерахунок іноземної валюти</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Операції в іноземній валюті відображаються у національній валюті шляхом перерахунку суми іноземної валюти за обмінним курсом, що діє на дату здійснення операції. Монетарні активи та зобов’язання, номіновані в іноземній валюті, перераховуються в гривню за обмінним курсом, що діє на дату складання фінансової звітності. Немонетарні статті, які оцінюються за історичною вартістю в іноземній валюті, перераховуються із використанням курсів обміну валют станом на дати первісних операцій. Немонетарні статті, які оцінюються за справедливою вартістю в іноземній валюті, перераховуються із використанням курсів обміну валют на дату визначення справедливої вартості. </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Курсові різниці визнаються у складі прибутку або збитку в тому періоді, в якому вони виникають.</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b/>
          <w:color w:val="000000"/>
          <w:spacing w:val="0"/>
          <w:position w:val="0"/>
          <w:sz w:val="24"/>
          <w:u w:val="single"/>
          <w:shd w:fill="auto" w:val="clear"/>
        </w:rPr>
        <w:t xml:space="preserve">Інформація за сегментами</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Інформація про доходи, витрати, активи і зобов'язання сегментів надається в розрізі збуту продукції Товариства в Україні та на експорт. До сегментних доходів відносяться доходи від реалізації продукції, до сегментних витрат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собівартість реалізованої продукції та витрати на збут. Сегментні активи включають дебіторську заборгованість за поставлену продукцію. Сегментні зобов'язання включають аванси, одержані від покупців продукції.</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Умовні зобов’язання та активи</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333333"/>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Умовні зобов'язання не визнаються у фінансовій звітності. Такі зобов'язання розкриваються у примітках до фінансової звітності, за винятком тих випадків, коли ймовірність відтоку ресурсів, що втілюють економічний потенціал, є незначною. </w:t>
      </w:r>
    </w:p>
    <w:p>
      <w:pPr>
        <w:keepNext w:val="true"/>
        <w:spacing w:before="0" w:after="120" w:line="276"/>
        <w:ind w:right="0" w:left="0" w:firstLine="0"/>
        <w:jc w:val="left"/>
        <w:rPr>
          <w:rFonts w:ascii="Times New Roman" w:hAnsi="Times New Roman" w:cs="Times New Roman" w:eastAsia="Times New Roman"/>
          <w:color w:val="000000"/>
          <w:spacing w:val="0"/>
          <w:position w:val="0"/>
          <w:sz w:val="24"/>
          <w:u w:val="single"/>
          <w:shd w:fill="auto" w:val="clear"/>
        </w:rPr>
      </w:pPr>
    </w:p>
    <w:p>
      <w:pPr>
        <w:keepNext w:val="true"/>
        <w:tabs>
          <w:tab w:val="left" w:pos="0" w:leader="none"/>
        </w:tabs>
        <w:spacing w:before="0" w:after="120" w:line="276"/>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ab/>
        <w:t xml:space="preserve">4. </w:t>
      </w:r>
      <w:r>
        <w:rPr>
          <w:rFonts w:ascii="Times New Roman" w:hAnsi="Times New Roman" w:cs="Times New Roman" w:eastAsia="Times New Roman"/>
          <w:b/>
          <w:color w:val="000000"/>
          <w:spacing w:val="0"/>
          <w:position w:val="0"/>
          <w:sz w:val="24"/>
          <w:u w:val="single"/>
          <w:shd w:fill="auto" w:val="clear"/>
        </w:rPr>
        <w:t xml:space="preserve">ПРИЙНЯТТЯ НОВИХ ТА ПЕРЕГЛЯНУТІ СТАНДАРТИ</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Вплив на фінансову звітність прийнятих стандартів.</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Нові стандарти, роз'яснення та поправки до чинних стандартів та роз'яснення, вперше застосовані Товариством</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Товариство вперше застосувало деякі стандарти і поправки, які вступають в силу для річних періодів, що починаються 1 січня 2020 року або після цієї дати.</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Товариство не застосовувала достроково стандарти, роз'яснення або поправки, які були випущені, але ще не вступили в силу. </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i/>
          <w:color w:val="000000"/>
          <w:spacing w:val="0"/>
          <w:position w:val="0"/>
          <w:sz w:val="24"/>
          <w:u w:val="single"/>
          <w:shd w:fill="auto" w:val="clear"/>
        </w:rPr>
        <w:t xml:space="preserve">Поправки до МСФЗ (IFRS) 3 - "Об'єднання бізнесу"</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У поправках до МСФЗ (IFRS) 3 пояснюється, що, щоб вважатися бізнесом, інтегрована сукупність видів діяльності та активів повинна включати як мінімум внесок і принципово значущий процес, які разом в значній мірі можуть сприяти створенню віддачі. При цьому пояснюється, що бізнес не обов'язково повинен включати всі вклади і процеси, необхідні для створення віддачі. Дані поправки не вплинули на фінансову звітність Товариство, але можуть бути застосовні в майбутньому, якщо Товариство проведе операцію по об'єднанню бізнесів.</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i/>
          <w:color w:val="000000"/>
          <w:spacing w:val="0"/>
          <w:position w:val="0"/>
          <w:sz w:val="24"/>
          <w:u w:val="single"/>
          <w:shd w:fill="auto" w:val="clear"/>
        </w:rPr>
        <w:t xml:space="preserve">Поправки до МСФЗ (IAS) 1 і МСФЗ (IAS) 8 - "Визначення суттєвості"</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Поправки пропонують нове визначення суттєвості, згідно з яким "інформація є суттєвою, якщо можна об</w:t>
      </w:r>
      <w:r>
        <w:rPr>
          <w:rFonts w:ascii="Times New Roman" w:hAnsi="Times New Roman" w:cs="Times New Roman" w:eastAsia="Times New Roman"/>
          <w:color w:val="000000"/>
          <w:spacing w:val="0"/>
          <w:position w:val="0"/>
          <w:sz w:val="24"/>
          <w:u w:val="single"/>
          <w:shd w:fill="auto" w:val="clear"/>
        </w:rPr>
        <w:t xml:space="preserve">ґрунтовано очікувати, що її пропуск, спотворення або маскування вплинуть на вирішення основних користувачів фінансової звітності загального призначення, прийняті ними на основі цих фінансових звітів, що надає фінансову інформацію про конкретну звітує". У поправках пояснюється, що суттєвість буде залежати від характеру або кількісної значущості інформації (взятої окремо або в сукупності з іншою інформацією) в контексті фінансової звітності, що розглядається в цілому. Спотворення інформації є істотним, якщо можна обґрунтовано очікувати, що це вплине на вирішення основних користувачів фінансової звітності. Дані поправки не вплинули на фінансову звітність Товариство, і очікується, що в майбутньому вплив також буде відсутній.</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i/>
          <w:color w:val="000000"/>
          <w:spacing w:val="0"/>
          <w:position w:val="0"/>
          <w:sz w:val="24"/>
          <w:u w:val="single"/>
          <w:shd w:fill="auto" w:val="clear"/>
        </w:rPr>
        <w:t xml:space="preserve">"</w:t>
      </w:r>
      <w:r>
        <w:rPr>
          <w:rFonts w:ascii="Times New Roman" w:hAnsi="Times New Roman" w:cs="Times New Roman" w:eastAsia="Times New Roman"/>
          <w:i/>
          <w:color w:val="000000"/>
          <w:spacing w:val="0"/>
          <w:position w:val="0"/>
          <w:sz w:val="24"/>
          <w:u w:val="single"/>
          <w:shd w:fill="auto" w:val="clear"/>
        </w:rPr>
        <w:t xml:space="preserve">Концептуальні засади подання фінансових звітів", випущені 29 березня 2018 року</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Концептуальні основи не є стандартом, і жодне з положень Концептуальних засад не має переважної сили над будь-яким положенням або вимогам стандарту. Цілі Концептуальних засад полягають в наступному: сприяти Раді по МСФО в розробці стандартів; сприяти укладачам фінансових звітів при розробці положень облікової політики, коли жоден з стандартів не регулює певну операцію або іншу подію; і сприяти всім сторонам в розумінні та інтерпретації стандартів. Даний документ вплине на організації, які розробляють свою облікову політику відповідно до положень Концептуальних засад. Переглянута редакція Концептуальних засад містить кілька нових концепцій, оновлені визначення активів і зобов'язань і критерії для їх визнання, а також пояснює деякі суттєві положення. Перегляд даного документа не вплинув на фінансову звітність Товариство.</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i/>
          <w:color w:val="000000"/>
          <w:spacing w:val="0"/>
          <w:position w:val="0"/>
          <w:sz w:val="24"/>
          <w:u w:val="single"/>
          <w:shd w:fill="auto" w:val="clear"/>
        </w:rPr>
        <w:t xml:space="preserve">Поправки до МСФЗ (IFRS) 16 - "Поступки з оренди, пов'язані з пандемією Covid-19"</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28 </w:t>
      </w:r>
      <w:r>
        <w:rPr>
          <w:rFonts w:ascii="Times New Roman" w:hAnsi="Times New Roman" w:cs="Times New Roman" w:eastAsia="Times New Roman"/>
          <w:color w:val="000000"/>
          <w:spacing w:val="0"/>
          <w:position w:val="0"/>
          <w:sz w:val="24"/>
          <w:u w:val="single"/>
          <w:shd w:fill="auto" w:val="clear"/>
        </w:rPr>
        <w:t xml:space="preserve">травня 2020 року Рада з МСФЗ випустила поправку до МСФЗ (IFRS) 16 "Оренда" - "Поступки з оренди, пов'язані з пандемією Covid-19". Дана поправка передбачає звільнення для орендарів від застосування вимог МСФЗ (IFRS) 16 в частині обліку модифікацій договорів оренди в разі поступок з оренди, які виникають в якості прямого слідства пандемії Covid-19. Як спрощення практичного характеру орендар може прийняти рішення не аналізувати, чи є поступка з оренди, надана орендодавцем у зв'язку з пандемією Covid-19, модифікацією договору оренди. Орендар, який приймає таке рішення, повинен враховувати будь-яка зміна орендних платежів, обумовлене поступкою з оренди, пов'язаної з пандемією Covid-19, аналогічно тому, як це зміна відбивалося б в обліку відповідно до МСФЗ (IFRS) 16, якщо б воно не було модифікацією договору оренди. Дана поправка застосовується до річних звітних періодів, що починаються 1 червня 2020 року або після цієї дати. Допускається застосування до цієї дати. Ця поправка не мала впливу на фінансову звітність Товариства.</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Стандарти, які були випущені, але ще не вступили в силу</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tab/>
      </w:r>
      <w:r>
        <w:rPr>
          <w:rFonts w:ascii="Times New Roman" w:hAnsi="Times New Roman" w:cs="Times New Roman" w:eastAsia="Times New Roman"/>
          <w:i/>
          <w:color w:val="000000"/>
          <w:spacing w:val="0"/>
          <w:position w:val="0"/>
          <w:sz w:val="24"/>
          <w:u w:val="single"/>
          <w:shd w:fill="auto" w:val="clear"/>
        </w:rPr>
        <w:t xml:space="preserve">МСФЗ (IFRS) 17 "Страхові контракти"</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В травні 2017 року Рада з МСФЗ випустила МСФЗ (IFRS) 17 "Договори страхування", новий всеосяжний стандарт фінансової звітності для договорів страхування, який розглядає питання визнання і оцінки, подання та розкриття інформації. Коли МСФЗ (IFRS) 17 вступить в силу, він замінить собою МСБО (IFRS) 4 "Страхові контракти", який був випущений в 2005 році. МСФЗ (IFRS) 17 застосовується до всіх видів договорів страхування. Є кілька винятків зі сфери застосування. Основна мета МСФЗ (IFRS) 17 полягає в наданні моделі обліку договорів страхування, яка є більш ефективною і послідовною для страховиків. На відміну від вимог МСБО (IFRS) 4, які в основному базуються на попередніх місцевих облікових політиках, МСФЗ (IFRS) 17 надає всебічну модель обліку договорів страхування, охоплюючи все доречні аспекти обліку. МСФЗ (IFRS) 17 набуває чинності, починаючи з 1 січня 2021 року або після цієї дати. Допускається застосування до цієї дати за умови, що організація також застосовує МСФЗ (IFRS) 9 і МСФЗ (IFRS) 15 на дату першого застосування МСФЗ (IFRS) 17 або до неї. Даний стандарт не застосовний до Товариства.</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i/>
          <w:color w:val="000000"/>
          <w:spacing w:val="0"/>
          <w:position w:val="0"/>
          <w:sz w:val="24"/>
          <w:u w:val="single"/>
          <w:shd w:fill="auto" w:val="clear"/>
        </w:rPr>
        <w:t xml:space="preserve">Поправки до МСФЗ 9 Фінансові інструменти, МСБО 39 Фінансові інструменти: Визнання та оцінка, МСФЗ 7 Фінансові інструменти: Розкриття інформації, МСФЗ 4 Страхові контракти та МСФЗ 16 Оренда</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У серпні 2020 року Рада з МСФЗ в рамках Реформи IBOR опублікувала поправки, що доповнюють випущені у 2019 році та зосереджують увагу на наслідках реформи базового рівня процентних ставок на фінансовій звітності компанії, які виникають, коли, наприклад, базовий показник процентної ставки, який використовується для обчислення процентів за фінансовим активом замінено альтернативною базовою ставкою.</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Поправки розглядають питання, які можуть вплинути на фінансову звітність під час реформи базового рівня процентних ставок, включаючи наслідки змін договірних грошових потоків або відносин хеджування, що виникають внаслідок заміни базового рівня процентної ставки альтернативною базовою ставкою (проблеми із заміною). </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Зміни до вимог зазначених стандартів стосуються:</w:t>
      </w:r>
    </w:p>
    <w:p>
      <w:pPr>
        <w:numPr>
          <w:ilvl w:val="0"/>
          <w:numId w:val="1145"/>
        </w:numPr>
        <w:spacing w:before="0" w:after="0" w:line="259"/>
        <w:ind w:right="0" w:left="0" w:firstLine="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зміни договірних грошових потоків - компанії не доведеться припиняти визнання або коригувати балансову вартість фінансових інструментів для змін, що вимагаються реформою, а замість цього оновить ефективну процентну ставку, щоб відобразити зміну до альтернативної базової ставки;</w:t>
      </w:r>
    </w:p>
    <w:p>
      <w:pPr>
        <w:numPr>
          <w:ilvl w:val="0"/>
          <w:numId w:val="1145"/>
        </w:numPr>
        <w:spacing w:before="0" w:after="0" w:line="259"/>
        <w:ind w:right="0" w:left="0" w:firstLine="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облік хеджування - компанії не доведеться припиняти облік хеджування виключно тому, що вона вносить зміни, які вимагає реформа, якщо хеджування відповідає іншим критеріям обліку хеджування; і</w:t>
      </w:r>
    </w:p>
    <w:p>
      <w:pPr>
        <w:numPr>
          <w:ilvl w:val="0"/>
          <w:numId w:val="1145"/>
        </w:numPr>
        <w:spacing w:before="0" w:after="120" w:line="259"/>
        <w:ind w:right="0" w:left="0" w:firstLine="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розкриття інформації - компанія повинна буде розкривати інформацію про нові ризики, що виникають внаслідок реформи, та про те, як вона управляє переходом до альтернативних ставок.</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Поправки до Фази 2 поширюються лише на зміни, які вимагає реформа базового рівня процентних ставок до фінансових інструментів та відносин хеджування. </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Дані поправки будуть застосовуються до річних звітних періодів, що починаються 1 січня 2021 року або після цієї дати. Допускається застосування до цієї дати. Ці поправка не матимуть впливу на фінансову звітність Товариства.</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i/>
          <w:color w:val="000000"/>
          <w:spacing w:val="0"/>
          <w:position w:val="0"/>
          <w:sz w:val="24"/>
          <w:u w:val="single"/>
          <w:shd w:fill="auto" w:val="clear"/>
        </w:rPr>
        <w:t xml:space="preserve">Поправки до МСБО 16 "Основні засоби"</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Поправки забороняють компанії вираховувати з вартості основних засобів суми, отримані від реалізації вироблених предметів, коли компанія готує актив до його цільового використання. Натомість компанія визнає такі надходження від продажу та пов'язані з ними витрати у прибутку або збитку. Ця поправка буде застосовуватися до річних звітних періодів, що починаються 1 січня 2022 року або після цієї дати. Допускається застосування до цієї дати. У попередніх періодах Товариство не вираховувало із вартості основних засобів суми, отримані від реалізації готової продукції, виробленої під час підготовки основних засобів до їх цільового використання.  Тому ця поправка не матиме впливу на фінансову звітність Товариства.</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i/>
          <w:color w:val="000000"/>
          <w:spacing w:val="0"/>
          <w:position w:val="0"/>
          <w:sz w:val="24"/>
          <w:u w:val="single"/>
          <w:shd w:fill="auto" w:val="clear"/>
        </w:rPr>
        <w:t xml:space="preserve">МСБО 37 "Забезпечення, непередбачені зобов’язання та непередбачені активи"</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Поправки уточнюють, що "витрати на виконання договору" являють собою витрати, безпосередньо пов'язані з договором - тобто або додаткові витрати виконання договору (наприклад, прямі витрати на працю і матеріали), або розподіл інших витрат, які також безпосередньо пов'язані з договором (наприклад, розподіл амортизації об'єкта основних засобів, що використовується при виконанні договору). Ефективна дата застосування поправки 1 січня 2022 року. Допускається застосування до цієї дати. Поправка не матиме впливу на фінансову звітність Товариства.</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i/>
          <w:color w:val="000000"/>
          <w:spacing w:val="0"/>
          <w:position w:val="0"/>
          <w:sz w:val="24"/>
          <w:u w:val="single"/>
          <w:shd w:fill="auto" w:val="clear"/>
        </w:rPr>
        <w:t xml:space="preserve">МСФЗ 3 "Об’єднання бізнесу"</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Актуалізація посилань в МСФЗ (IFRS) 3 на Концептуальні основи підготовки фінансової звітності, не змінюючи вимог до обліку для об'єднання бізнесів.</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Додано виняток щодо зобов'язань і умовних зобов'язань. Цей виняток передбачає, що стосовно деяких видів зобов'язань і умовних зобов'язань організація, яка застосовує МСФЗ (IFRS) 3, повинна посилатися на МСФЗ (IAS) 37 "Забезпечення, непередбачені зобов'язання та непередбачені активи" або на Роз'яснення КТМФЗ (IFRIC) 21 "Збори ", а не на Концептуальні засади фінансової звітності 2018 року. Ефективна дата застосування поправки 1 січня 2022 року. Допускається застосування до цієї дати. Поправка не матиме впливу на фінансову звітність Товариства.</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i/>
          <w:color w:val="000000"/>
          <w:spacing w:val="0"/>
          <w:position w:val="0"/>
          <w:sz w:val="24"/>
          <w:u w:val="single"/>
          <w:shd w:fill="auto" w:val="clear"/>
        </w:rPr>
        <w:t xml:space="preserve">Щорічні поправки в МСФЗ (2018-2020):</w:t>
      </w:r>
    </w:p>
    <w:p>
      <w:pPr>
        <w:numPr>
          <w:ilvl w:val="0"/>
          <w:numId w:val="1148"/>
        </w:numPr>
        <w:spacing w:before="0" w:after="0" w:line="259"/>
        <w:ind w:right="0" w:left="0" w:firstLine="426"/>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до МСФЗ (IFRS) 1. Дочірнє Товариство, яке уперше застосувало МСФЗ. Поправка дозволяє дочірньому Товариству, що застосовує IFRS 1: D16 (a) (яке переходить на МСФЗ пізніше своєї материнської компанії), виконати оцінку накопиченого ефекту курсових різниць у складі іншого сукупного доходу - на підставі такої оцінки, виконаної материнською компанією на дату її переходу на МСФЗ;</w:t>
      </w:r>
    </w:p>
    <w:p>
      <w:pPr>
        <w:numPr>
          <w:ilvl w:val="0"/>
          <w:numId w:val="1148"/>
        </w:numPr>
        <w:spacing w:before="0" w:after="0" w:line="259"/>
        <w:ind w:right="0" w:left="0" w:firstLine="426"/>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до МСФЗ (IFRS) 9. Комісійна винагорода, що включається в "10-відсотковий" тест при припиненні визнання фінансових зобов'язань. Поправка уточнює характер такої комісійної винагороди - воно включає тільки винагороду, сплачене між позикодавцем і позичальником, включаючи винагороду, сплачену або отриману від особи інших сторін;</w:t>
      </w:r>
    </w:p>
    <w:p>
      <w:pPr>
        <w:numPr>
          <w:ilvl w:val="0"/>
          <w:numId w:val="1148"/>
        </w:numPr>
        <w:spacing w:before="0" w:after="0" w:line="259"/>
        <w:ind w:right="0" w:left="0" w:firstLine="426"/>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до МСФЗ (IFRS) 16. Стимулюючі платежі по оренді. Поправка уточнює ілюстративний приклад  13 до МСФЗ (IFRS) 16 шляхом виключення прикладу урахування відшкодування, отриманого орендарем від орендодавця в якості компенсації за понесені витрати на поліпшення об'єкта оренди;</w:t>
      </w:r>
    </w:p>
    <w:p>
      <w:pPr>
        <w:numPr>
          <w:ilvl w:val="0"/>
          <w:numId w:val="1148"/>
        </w:numPr>
        <w:spacing w:before="0" w:after="120" w:line="259"/>
        <w:ind w:right="0" w:left="0" w:firstLine="426"/>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до МСБО (IAS) 41. Ефекти оподаткування при визначенні справедливої вартості. Поправка виключає вимогу IAS 41:22, яка вказує, що потоки грошових коштів, пов'язані з оподаткуванням, не включаються до розрахунків справедливої вартості біологічних активів. Поправка призводить до відповідності IAS 41 і IFRS 13.</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Ефективна дата застосування поправок 1 січня 2022 року. Допускається застосування до цієї дати. Поправки не матимуть впливу на фінансову звітність Товариства.</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i/>
          <w:color w:val="000000"/>
          <w:spacing w:val="0"/>
          <w:position w:val="0"/>
          <w:sz w:val="24"/>
          <w:u w:val="single"/>
          <w:shd w:fill="auto" w:val="clear"/>
        </w:rPr>
        <w:t xml:space="preserve">Поправки до МСБО 1 "Подання фінансової звітності"</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Поправки роз'яснюють критерій у МСБО 1 для класифікації зобов'язання як довгострокового: вимога до суб'єкта господарювання мати право відкласти погашення зобов'язання принаймні на 12 місяців після звітного періоду.</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Сутність поправок:</w:t>
      </w:r>
    </w:p>
    <w:p>
      <w:pPr>
        <w:numPr>
          <w:ilvl w:val="0"/>
          <w:numId w:val="1151"/>
        </w:numPr>
        <w:spacing w:before="0" w:after="0" w:line="259"/>
        <w:ind w:right="0" w:left="0" w:firstLine="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уточнено, що зобов'язання класифікується як довгострокове, якщо у організації є право відстрочити врегулювання зобов'язання щонайменше на 12 місяців, а право компанії на відстрочку розрахунків має існувати на кінець звітного періоду;</w:t>
      </w:r>
    </w:p>
    <w:p>
      <w:pPr>
        <w:numPr>
          <w:ilvl w:val="0"/>
          <w:numId w:val="1151"/>
        </w:numPr>
        <w:spacing w:before="0" w:after="0" w:line="259"/>
        <w:ind w:right="0" w:left="0" w:firstLine="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класифікація залежить тільки він наявності такого права і не залежить від імовірності того, чи планує компанія скористатися цим правом - на класифікацію не впливають наміри чи очікування керівництва щодо того, чи компанія реалізує своє право на відстрочку розрахунків;</w:t>
      </w:r>
    </w:p>
    <w:p>
      <w:pPr>
        <w:numPr>
          <w:ilvl w:val="0"/>
          <w:numId w:val="1151"/>
        </w:numPr>
        <w:spacing w:before="0" w:after="0" w:line="259"/>
        <w:ind w:right="0" w:left="0" w:firstLine="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роз’яснення впливу умов кредитування на класифікацію - якщо право відстрочити врегулювання зобов'язання залежить від виконання організацією певних умов, то дане право існує на дату закінчення звітного періоду тільки в тому випадку, якщо організація виконала ці умови на дату закінчення звітного періоду. Організація повинна виконати ці умови на дату закінчення звітного періоду, навіть якщо перевірка їх виконання здійснюється кредитором пізніше; і</w:t>
      </w:r>
    </w:p>
    <w:p>
      <w:pPr>
        <w:numPr>
          <w:ilvl w:val="0"/>
          <w:numId w:val="1151"/>
        </w:numPr>
        <w:spacing w:before="0" w:after="120" w:line="259"/>
        <w:ind w:right="0" w:left="0" w:firstLine="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роз’яснення вимог до класифікації зобов'язань, які компанія може або може погасити шляхом випуску власних інструментів власного капіталу.</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Поправки будуть застосовуватися починаючи із 1 січня 2023 року. Товариство не планує застосувати поправки до цієї дати. Імовірно, що застосування поправок матиме вплив на фінансову звітність Товариства, але на даний час цей вплив оцінити не можливо.</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00FFFF" w:val="clear"/>
        </w:rPr>
      </w:pPr>
    </w:p>
    <w:p>
      <w:pPr>
        <w:keepNext w:val="true"/>
        <w:tabs>
          <w:tab w:val="left" w:pos="0" w:leader="none"/>
        </w:tabs>
        <w:spacing w:before="0" w:after="120" w:line="259"/>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ab/>
        <w:t xml:space="preserve">5. </w:t>
      </w:r>
      <w:r>
        <w:rPr>
          <w:rFonts w:ascii="Times New Roman" w:hAnsi="Times New Roman" w:cs="Times New Roman" w:eastAsia="Times New Roman"/>
          <w:b/>
          <w:color w:val="000000"/>
          <w:spacing w:val="0"/>
          <w:position w:val="0"/>
          <w:sz w:val="24"/>
          <w:u w:val="single"/>
          <w:shd w:fill="auto" w:val="clear"/>
        </w:rPr>
        <w:t xml:space="preserve">ІСТОТНІ СУДЖЕННЯ І ДЖЕРЕЛА НЕВИЗНАЧЕНОСТІ У ОЦІНКАХ</w:t>
      </w:r>
    </w:p>
    <w:p>
      <w:pPr>
        <w:spacing w:before="0" w:after="120" w:line="259"/>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ab/>
      </w:r>
      <w:r>
        <w:rPr>
          <w:rFonts w:ascii="Times New Roman" w:hAnsi="Times New Roman" w:cs="Times New Roman" w:eastAsia="Times New Roman"/>
          <w:b/>
          <w:color w:val="000000"/>
          <w:spacing w:val="0"/>
          <w:position w:val="0"/>
          <w:sz w:val="24"/>
          <w:u w:val="single"/>
          <w:shd w:fill="auto" w:val="clear"/>
        </w:rPr>
        <w:t xml:space="preserve">Істотні судження в процесі застосування облікової політики</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У процесі застосування облікової політики Товариства керівництво зробило певні професійні судження, окрім тих, які вимагають використання оцінок, які мають найбільш істотний вплив на суми, визнані в фінансовій звітності. Ці судження, серед іншого, включають правомірність застосування припущення щодо здатності вести свою діяльність на безперервній основі.</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ab/>
      </w:r>
      <w:r>
        <w:rPr>
          <w:rFonts w:ascii="Times New Roman" w:hAnsi="Times New Roman" w:cs="Times New Roman" w:eastAsia="Times New Roman"/>
          <w:b/>
          <w:color w:val="000000"/>
          <w:spacing w:val="0"/>
          <w:position w:val="0"/>
          <w:sz w:val="24"/>
          <w:u w:val="single"/>
          <w:shd w:fill="auto" w:val="clear"/>
        </w:rPr>
        <w:t xml:space="preserve">Основні джерела невизначеності оцінок</w:t>
      </w:r>
      <w:r>
        <w:rPr>
          <w:rFonts w:ascii="Times New Roman" w:hAnsi="Times New Roman" w:cs="Times New Roman" w:eastAsia="Times New Roman"/>
          <w:b/>
          <w:i/>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 Нижче наведені ключові припущення щодо майбутнього, а також основні джерела невизначеності оцінок на кінець звітного періоду, які мають істотний ризик стати причиною внесення суттєвих коригувань до балансової вартості активів та зобов'язань протягом наступного фінансового року.</w:t>
      </w:r>
    </w:p>
    <w:p>
      <w:pPr>
        <w:tabs>
          <w:tab w:val="left" w:pos="709" w:leader="none"/>
        </w:tabs>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i/>
          <w:color w:val="000000"/>
          <w:spacing w:val="0"/>
          <w:position w:val="0"/>
          <w:sz w:val="24"/>
          <w:u w:val="single"/>
          <w:shd w:fill="auto" w:val="clear"/>
        </w:rPr>
        <w:t xml:space="preserve">Строки корисного використання основних засобів</w:t>
      </w:r>
    </w:p>
    <w:p>
      <w:pPr>
        <w:tabs>
          <w:tab w:val="left" w:pos="709" w:leader="none"/>
        </w:tabs>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Оцінка строків корисного використання об'єктів основних засобів залежить від професійного судження керівництва, яке засноване на досвіді роботи з аналогічними активами. При визначенні строків корисного використання активів керівництво бере до уваги умови очікуваного використання активів, моральний знос, фізичний знос і умови праці, в яких будуть експлуатуватися дані активи. Зміна будь-якого з цих умов або оцінок може в результаті привести до коригування майбутніх норм амортизації.</w:t>
      </w:r>
    </w:p>
    <w:p>
      <w:pPr>
        <w:tabs>
          <w:tab w:val="left" w:pos="709" w:leader="none"/>
        </w:tabs>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i/>
          <w:color w:val="000000"/>
          <w:spacing w:val="0"/>
          <w:position w:val="0"/>
          <w:sz w:val="24"/>
          <w:u w:val="single"/>
          <w:shd w:fill="auto" w:val="clear"/>
        </w:rPr>
        <w:t xml:space="preserve">Відстрочені податкові активи</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Відстрочені податкові активи визнаються для всіх невикористаних податкових збитків в тій мірі, в якій ймовірно отримання оподатковуваного прибутку, за рахунок якого можливо буде реалізувати дані збитки. Від керівництва вимагається прийняття виваженого професійного судження при визначенні суми відстрочених податкових активів, які можна визнати, на основі очікуваного терміну і рівня оподатковуваних прибутків з урахуванням стратегії майбутнього податкового планування.</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i/>
          <w:color w:val="000000"/>
          <w:spacing w:val="0"/>
          <w:position w:val="0"/>
          <w:sz w:val="24"/>
          <w:u w:val="single"/>
          <w:shd w:fill="auto" w:val="clear"/>
        </w:rPr>
        <w:t xml:space="preserve">Дисконтування </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Дисконтування - одна з сфер обліку, де професійне судження має основоположний характер. При обліку як фінансових активів, так і зобов'язань керівництво Товариства у першу чергу враховує економічну суть операцій та вимоги МСФЗ і, виходячи з цього, формує професійне судження про те, чи доцільно застосовувати дисконтування у кожному конкретному випадку. Ставка дисконтування - це оціночна величина, тому в різних ситуаціях вона відрізнятиметься. В якості ставки дисконтування приймається переважно ринкова ставка відсотка на аналогічний інструмент (аналогічний за валютою, терміном, типом ставки й іншими ознаками). Однак знайти аналогічний фінансовий інструмент не завжди представляється можливим, тому на практиці використовується максимально близький ринковий аналог.</w:t>
      </w:r>
    </w:p>
    <w:p>
      <w:pPr>
        <w:keepNext w:val="true"/>
        <w:tabs>
          <w:tab w:val="left" w:pos="0" w:leader="none"/>
        </w:tabs>
        <w:spacing w:before="120" w:after="120" w:line="240"/>
        <w:ind w:right="0" w:left="692"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keepNext w:val="true"/>
        <w:tabs>
          <w:tab w:val="left" w:pos="0" w:leader="none"/>
        </w:tabs>
        <w:spacing w:before="120" w:after="120" w:line="240"/>
        <w:ind w:right="0" w:left="692"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6. </w:t>
      </w:r>
      <w:r>
        <w:rPr>
          <w:rFonts w:ascii="Times New Roman" w:hAnsi="Times New Roman" w:cs="Times New Roman" w:eastAsia="Times New Roman"/>
          <w:b/>
          <w:color w:val="000000"/>
          <w:spacing w:val="0"/>
          <w:position w:val="0"/>
          <w:sz w:val="24"/>
          <w:u w:val="single"/>
          <w:shd w:fill="auto" w:val="clear"/>
        </w:rPr>
        <w:t xml:space="preserve">ПОВ’ЯЗАНІ СТОРОНИ</w:t>
      </w:r>
    </w:p>
    <w:p>
      <w:pPr>
        <w:keepNext w:val="true"/>
        <w:tabs>
          <w:tab w:val="left" w:pos="0" w:leader="none"/>
        </w:tabs>
        <w:spacing w:before="0" w:after="120" w:line="276"/>
        <w:ind w:right="0" w:left="0" w:firstLine="69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Пов’язані сторони Товариства включають акціонерів, ключовий керуючий персонал і близьких членів їх сімей, компанії, що перебувають під контролем або які знаходяться під істотним впливом Товариства чи його акціонерів.</w:t>
      </w:r>
    </w:p>
    <w:p>
      <w:pPr>
        <w:spacing w:before="0" w:after="120" w:line="276"/>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Пов’язані особи ПрАТ "Ватутінський комбінат вогнетривів" - акціонери, що мають контрольний пакет акцій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Компанія "Imerys Refractori Minerals Cleraс" (89,3858%). Товариство продає готову продукцію Компанії "Imerys Refractori Minerals Cleraс" (Франція) на експорт. Також пов’язаною стороною є Компанія IMERYS (Франція), що надала Товариству валютний кредит для виробничих цілей в розмірі 9 111 тис. євро. Товариство щоквартально нараховує відсотки по кредиту та податок на доходи нерезидента відповідно до вимог Податкового кодексу України.</w:t>
      </w:r>
    </w:p>
    <w:p>
      <w:pPr>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Концентрація балансів з пов'язаними сторонами станом на 31 грудня 2019 року:</w:t>
      </w:r>
    </w:p>
    <w:tbl>
      <w:tblPr/>
      <w:tblGrid>
        <w:gridCol w:w="5103"/>
        <w:gridCol w:w="1134"/>
        <w:gridCol w:w="1701"/>
        <w:gridCol w:w="1471"/>
      </w:tblGrid>
      <w:tr>
        <w:trPr>
          <w:trHeight w:val="1" w:hRule="atLeast"/>
          <w:jc w:val="left"/>
        </w:trPr>
        <w:tc>
          <w:tcPr>
            <w:tcW w:w="5103"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Показники звіту про фінансовий стан</w:t>
            </w:r>
          </w:p>
        </w:tc>
        <w:tc>
          <w:tcPr>
            <w:tcW w:w="1134"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Код рядка</w:t>
            </w:r>
          </w:p>
        </w:tc>
        <w:tc>
          <w:tcPr>
            <w:tcW w:w="1701"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Баланси з пов'язаними сторонами</w:t>
            </w:r>
          </w:p>
        </w:tc>
        <w:tc>
          <w:tcPr>
            <w:tcW w:w="1471" w:type="dxa"/>
            <w:tcBorders>
              <w:top w:val="single" w:color="000000" w:sz="4"/>
              <w:left w:val="single" w:color="000000" w:sz="4"/>
              <w:bottom w:val="single" w:color="000000" w:sz="4"/>
              <w:right w:val="single" w:color="000000" w:sz="4"/>
            </w:tcBorders>
            <w:shd w:color="000000" w:fill="f2f2f2"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 по статті</w:t>
            </w:r>
          </w:p>
        </w:tc>
      </w:tr>
      <w:tr>
        <w:trPr>
          <w:trHeight w:val="1" w:hRule="atLeast"/>
          <w:jc w:val="left"/>
        </w:trPr>
        <w:tc>
          <w:tcPr>
            <w:tcW w:w="5103"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довгострокові зобов’язання</w:t>
            </w:r>
          </w:p>
        </w:tc>
        <w:tc>
          <w:tcPr>
            <w:tcW w:w="1134"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1515</w:t>
            </w:r>
          </w:p>
        </w:tc>
        <w:tc>
          <w:tcPr>
            <w:tcW w:w="170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158 504</w:t>
            </w:r>
          </w:p>
        </w:tc>
        <w:tc>
          <w:tcPr>
            <w:tcW w:w="147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158 504</w:t>
            </w:r>
          </w:p>
        </w:tc>
      </w:tr>
      <w:tr>
        <w:trPr>
          <w:trHeight w:val="1" w:hRule="atLeast"/>
          <w:jc w:val="left"/>
        </w:trPr>
        <w:tc>
          <w:tcPr>
            <w:tcW w:w="5103"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Поточна кредиторська заборгованість за довгостроковими зобов’язаннями </w:t>
            </w:r>
          </w:p>
        </w:tc>
        <w:tc>
          <w:tcPr>
            <w:tcW w:w="1134"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1610</w:t>
            </w:r>
          </w:p>
        </w:tc>
        <w:tc>
          <w:tcPr>
            <w:tcW w:w="170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38 021</w:t>
            </w:r>
          </w:p>
        </w:tc>
        <w:tc>
          <w:tcPr>
            <w:tcW w:w="147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38 021</w:t>
            </w:r>
          </w:p>
        </w:tc>
      </w:tr>
      <w:tr>
        <w:trPr>
          <w:trHeight w:val="1" w:hRule="atLeast"/>
          <w:jc w:val="left"/>
        </w:trPr>
        <w:tc>
          <w:tcPr>
            <w:tcW w:w="5103"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Поточна кредиторська заборгованість за одержаними авансами</w:t>
            </w:r>
          </w:p>
        </w:tc>
        <w:tc>
          <w:tcPr>
            <w:tcW w:w="1134"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1635</w:t>
            </w:r>
          </w:p>
        </w:tc>
        <w:tc>
          <w:tcPr>
            <w:tcW w:w="170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4 297</w:t>
            </w:r>
          </w:p>
        </w:tc>
        <w:tc>
          <w:tcPr>
            <w:tcW w:w="147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5 638</w:t>
            </w:r>
          </w:p>
        </w:tc>
      </w:tr>
      <w:tr>
        <w:trPr>
          <w:trHeight w:val="1" w:hRule="atLeast"/>
          <w:jc w:val="left"/>
        </w:trPr>
        <w:tc>
          <w:tcPr>
            <w:tcW w:w="5103"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Дебіторська заборгованість за продукцію, товари, послуги</w:t>
            </w:r>
          </w:p>
        </w:tc>
        <w:tc>
          <w:tcPr>
            <w:tcW w:w="1134"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1125</w:t>
            </w:r>
          </w:p>
        </w:tc>
        <w:tc>
          <w:tcPr>
            <w:tcW w:w="170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w:t>
            </w:r>
          </w:p>
        </w:tc>
        <w:tc>
          <w:tcPr>
            <w:tcW w:w="147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6 814</w:t>
            </w:r>
          </w:p>
        </w:tc>
      </w:tr>
    </w:tbl>
    <w:p>
      <w:pPr>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p>
    <w:p>
      <w:pPr>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Концентрація балансів з пов'язаними сторонами станом на 31 грудня 2020 року:</w:t>
      </w:r>
    </w:p>
    <w:tbl>
      <w:tblPr>
        <w:tblInd w:w="55" w:type="dxa"/>
      </w:tblPr>
      <w:tblGrid>
        <w:gridCol w:w="5103"/>
        <w:gridCol w:w="1134"/>
        <w:gridCol w:w="1701"/>
        <w:gridCol w:w="1418"/>
      </w:tblGrid>
      <w:tr>
        <w:trPr>
          <w:trHeight w:val="1" w:hRule="atLeast"/>
          <w:jc w:val="left"/>
        </w:trPr>
        <w:tc>
          <w:tcPr>
            <w:tcW w:w="5103"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Показники звіту про фінансовий стан</w:t>
            </w:r>
          </w:p>
        </w:tc>
        <w:tc>
          <w:tcPr>
            <w:tcW w:w="1134"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Код рядка</w:t>
            </w:r>
          </w:p>
        </w:tc>
        <w:tc>
          <w:tcPr>
            <w:tcW w:w="1701"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Баланси з пов'язаними сторонами</w:t>
            </w:r>
          </w:p>
        </w:tc>
        <w:tc>
          <w:tcPr>
            <w:tcW w:w="1418" w:type="dxa"/>
            <w:tcBorders>
              <w:top w:val="single" w:color="000000" w:sz="4"/>
              <w:left w:val="single" w:color="000000" w:sz="4"/>
              <w:bottom w:val="single" w:color="000000" w:sz="4"/>
              <w:right w:val="single" w:color="000000" w:sz="4"/>
            </w:tcBorders>
            <w:shd w:color="000000" w:fill="f2f2f2"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 по статті</w:t>
            </w:r>
          </w:p>
        </w:tc>
      </w:tr>
      <w:tr>
        <w:trPr>
          <w:trHeight w:val="1" w:hRule="atLeast"/>
          <w:jc w:val="left"/>
        </w:trPr>
        <w:tc>
          <w:tcPr>
            <w:tcW w:w="5103"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довгострокові зобов’язання</w:t>
            </w:r>
          </w:p>
        </w:tc>
        <w:tc>
          <w:tcPr>
            <w:tcW w:w="1134"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1515</w:t>
            </w:r>
          </w:p>
        </w:tc>
        <w:tc>
          <w:tcPr>
            <w:tcW w:w="170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69 879</w:t>
            </w:r>
          </w:p>
        </w:tc>
        <w:tc>
          <w:tcPr>
            <w:tcW w:w="1418"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69 879</w:t>
            </w:r>
          </w:p>
        </w:tc>
      </w:tr>
      <w:tr>
        <w:trPr>
          <w:trHeight w:val="1" w:hRule="atLeast"/>
          <w:jc w:val="left"/>
        </w:trPr>
        <w:tc>
          <w:tcPr>
            <w:tcW w:w="5103"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Поточна кредиторська заборгованість за довгостроковими зобов’язаннями </w:t>
            </w:r>
          </w:p>
        </w:tc>
        <w:tc>
          <w:tcPr>
            <w:tcW w:w="1134"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1610</w:t>
            </w:r>
          </w:p>
        </w:tc>
        <w:tc>
          <w:tcPr>
            <w:tcW w:w="170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222 016</w:t>
            </w:r>
          </w:p>
        </w:tc>
        <w:tc>
          <w:tcPr>
            <w:tcW w:w="1418"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222 016</w:t>
            </w:r>
          </w:p>
        </w:tc>
      </w:tr>
      <w:tr>
        <w:trPr>
          <w:trHeight w:val="1" w:hRule="atLeast"/>
          <w:jc w:val="left"/>
        </w:trPr>
        <w:tc>
          <w:tcPr>
            <w:tcW w:w="5103"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Поточна кредиторська заборгованість за одержаними авансами</w:t>
            </w:r>
          </w:p>
        </w:tc>
        <w:tc>
          <w:tcPr>
            <w:tcW w:w="1134"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1635</w:t>
            </w:r>
          </w:p>
        </w:tc>
        <w:tc>
          <w:tcPr>
            <w:tcW w:w="170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13 740</w:t>
            </w:r>
          </w:p>
        </w:tc>
        <w:tc>
          <w:tcPr>
            <w:tcW w:w="1418"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14 753</w:t>
            </w:r>
          </w:p>
        </w:tc>
      </w:tr>
      <w:tr>
        <w:trPr>
          <w:trHeight w:val="1" w:hRule="atLeast"/>
          <w:jc w:val="left"/>
        </w:trPr>
        <w:tc>
          <w:tcPr>
            <w:tcW w:w="5103"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Дебіторська заборгованість за продукцію, товари, послуги</w:t>
            </w:r>
          </w:p>
        </w:tc>
        <w:tc>
          <w:tcPr>
            <w:tcW w:w="1134"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1125</w:t>
            </w:r>
          </w:p>
        </w:tc>
        <w:tc>
          <w:tcPr>
            <w:tcW w:w="170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21 699</w:t>
            </w:r>
          </w:p>
        </w:tc>
        <w:tc>
          <w:tcPr>
            <w:tcW w:w="1418"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24 367</w:t>
            </w:r>
          </w:p>
        </w:tc>
      </w:tr>
    </w:tbl>
    <w:p>
      <w:pPr>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p>
    <w:p>
      <w:pPr>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p>
    <w:p>
      <w:pPr>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p>
    <w:p>
      <w:pPr>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Концентрація операцій з пов'язаними сторонами за 2019 рік:</w:t>
      </w:r>
    </w:p>
    <w:tbl>
      <w:tblPr/>
      <w:tblGrid>
        <w:gridCol w:w="5103"/>
        <w:gridCol w:w="1134"/>
        <w:gridCol w:w="1701"/>
        <w:gridCol w:w="1471"/>
      </w:tblGrid>
      <w:tr>
        <w:trPr>
          <w:trHeight w:val="1" w:hRule="atLeast"/>
          <w:jc w:val="left"/>
        </w:trPr>
        <w:tc>
          <w:tcPr>
            <w:tcW w:w="5103"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Показники звіту сукупний дохід</w:t>
            </w:r>
          </w:p>
        </w:tc>
        <w:tc>
          <w:tcPr>
            <w:tcW w:w="1134"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Код рядка</w:t>
            </w:r>
          </w:p>
        </w:tc>
        <w:tc>
          <w:tcPr>
            <w:tcW w:w="1701"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Операції з пов'язаними сторонами</w:t>
            </w:r>
          </w:p>
        </w:tc>
        <w:tc>
          <w:tcPr>
            <w:tcW w:w="1471" w:type="dxa"/>
            <w:tcBorders>
              <w:top w:val="single" w:color="000000" w:sz="4"/>
              <w:left w:val="single" w:color="000000" w:sz="4"/>
              <w:bottom w:val="single" w:color="000000" w:sz="4"/>
              <w:right w:val="single" w:color="000000" w:sz="4"/>
            </w:tcBorders>
            <w:shd w:color="000000" w:fill="f2f2f2"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 по статті</w:t>
            </w:r>
          </w:p>
        </w:tc>
      </w:tr>
      <w:tr>
        <w:trPr>
          <w:trHeight w:val="1" w:hRule="atLeast"/>
          <w:jc w:val="left"/>
        </w:trPr>
        <w:tc>
          <w:tcPr>
            <w:tcW w:w="5103"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Чистий дохід від реалізації продукції (товарів, робіт, послуг)</w:t>
            </w:r>
          </w:p>
        </w:tc>
        <w:tc>
          <w:tcPr>
            <w:tcW w:w="113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2000</w:t>
            </w:r>
          </w:p>
        </w:tc>
        <w:tc>
          <w:tcPr>
            <w:tcW w:w="170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245 539</w:t>
            </w:r>
          </w:p>
        </w:tc>
        <w:tc>
          <w:tcPr>
            <w:tcW w:w="1471"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406 087</w:t>
            </w:r>
          </w:p>
        </w:tc>
      </w:tr>
      <w:tr>
        <w:trPr>
          <w:trHeight w:val="1" w:hRule="atLeast"/>
          <w:jc w:val="left"/>
        </w:trPr>
        <w:tc>
          <w:tcPr>
            <w:tcW w:w="5103"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операційні доходи</w:t>
            </w:r>
          </w:p>
        </w:tc>
        <w:tc>
          <w:tcPr>
            <w:tcW w:w="113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2120</w:t>
            </w:r>
          </w:p>
        </w:tc>
        <w:tc>
          <w:tcPr>
            <w:tcW w:w="170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2 395</w:t>
            </w:r>
          </w:p>
        </w:tc>
        <w:tc>
          <w:tcPr>
            <w:tcW w:w="1471"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84 717</w:t>
            </w:r>
          </w:p>
        </w:tc>
      </w:tr>
      <w:tr>
        <w:trPr>
          <w:trHeight w:val="1" w:hRule="atLeast"/>
          <w:jc w:val="left"/>
        </w:trPr>
        <w:tc>
          <w:tcPr>
            <w:tcW w:w="5103"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Адміністративні витрати</w:t>
            </w:r>
          </w:p>
        </w:tc>
        <w:tc>
          <w:tcPr>
            <w:tcW w:w="113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2130</w:t>
            </w:r>
          </w:p>
        </w:tc>
        <w:tc>
          <w:tcPr>
            <w:tcW w:w="170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right"/>
              <w:rPr>
                <w:rFonts w:ascii="Calibri" w:hAnsi="Calibri" w:cs="Calibri" w:eastAsia="Calibri"/>
                <w:color w:val="auto"/>
                <w:spacing w:val="0"/>
                <w:position w:val="0"/>
                <w:sz w:val="22"/>
                <w:shd w:fill="auto" w:val="clear"/>
              </w:rPr>
            </w:pPr>
          </w:p>
        </w:tc>
        <w:tc>
          <w:tcPr>
            <w:tcW w:w="1471"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(30 436)</w:t>
            </w:r>
          </w:p>
        </w:tc>
      </w:tr>
      <w:tr>
        <w:trPr>
          <w:trHeight w:val="1" w:hRule="atLeast"/>
          <w:jc w:val="left"/>
        </w:trPr>
        <w:tc>
          <w:tcPr>
            <w:tcW w:w="5103"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Витрати на збут</w:t>
            </w:r>
          </w:p>
        </w:tc>
        <w:tc>
          <w:tcPr>
            <w:tcW w:w="113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2150</w:t>
            </w:r>
          </w:p>
        </w:tc>
        <w:tc>
          <w:tcPr>
            <w:tcW w:w="170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(64 295)</w:t>
            </w:r>
          </w:p>
        </w:tc>
        <w:tc>
          <w:tcPr>
            <w:tcW w:w="1471"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(95 502)</w:t>
            </w:r>
          </w:p>
        </w:tc>
      </w:tr>
      <w:tr>
        <w:trPr>
          <w:trHeight w:val="1" w:hRule="atLeast"/>
          <w:jc w:val="left"/>
        </w:trPr>
        <w:tc>
          <w:tcPr>
            <w:tcW w:w="5103"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операційні витрати</w:t>
            </w:r>
          </w:p>
        </w:tc>
        <w:tc>
          <w:tcPr>
            <w:tcW w:w="113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2180</w:t>
            </w:r>
          </w:p>
        </w:tc>
        <w:tc>
          <w:tcPr>
            <w:tcW w:w="170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(5 709)</w:t>
            </w:r>
          </w:p>
        </w:tc>
        <w:tc>
          <w:tcPr>
            <w:tcW w:w="1471"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(54 811)</w:t>
            </w:r>
          </w:p>
        </w:tc>
      </w:tr>
      <w:tr>
        <w:trPr>
          <w:trHeight w:val="1" w:hRule="atLeast"/>
          <w:jc w:val="left"/>
        </w:trPr>
        <w:tc>
          <w:tcPr>
            <w:tcW w:w="5103"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доходи</w:t>
            </w:r>
          </w:p>
        </w:tc>
        <w:tc>
          <w:tcPr>
            <w:tcW w:w="113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2240</w:t>
            </w:r>
          </w:p>
        </w:tc>
        <w:tc>
          <w:tcPr>
            <w:tcW w:w="170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w:t>
            </w:r>
          </w:p>
        </w:tc>
        <w:tc>
          <w:tcPr>
            <w:tcW w:w="1471"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1 133</w:t>
            </w:r>
          </w:p>
        </w:tc>
      </w:tr>
      <w:tr>
        <w:trPr>
          <w:trHeight w:val="1" w:hRule="atLeast"/>
          <w:jc w:val="left"/>
        </w:trPr>
        <w:tc>
          <w:tcPr>
            <w:tcW w:w="5103"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фінансові доходи</w:t>
            </w:r>
          </w:p>
        </w:tc>
        <w:tc>
          <w:tcPr>
            <w:tcW w:w="1134"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2220</w:t>
            </w:r>
          </w:p>
        </w:tc>
        <w:tc>
          <w:tcPr>
            <w:tcW w:w="170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101</w:t>
            </w:r>
          </w:p>
        </w:tc>
        <w:tc>
          <w:tcPr>
            <w:tcW w:w="147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101</w:t>
            </w:r>
          </w:p>
        </w:tc>
      </w:tr>
      <w:tr>
        <w:trPr>
          <w:trHeight w:val="1" w:hRule="atLeast"/>
          <w:jc w:val="left"/>
        </w:trPr>
        <w:tc>
          <w:tcPr>
            <w:tcW w:w="5103"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Фінансові витрати</w:t>
            </w:r>
          </w:p>
        </w:tc>
        <w:tc>
          <w:tcPr>
            <w:tcW w:w="1134"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2550</w:t>
            </w:r>
          </w:p>
        </w:tc>
        <w:tc>
          <w:tcPr>
            <w:tcW w:w="170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(17 677)</w:t>
            </w:r>
          </w:p>
        </w:tc>
        <w:tc>
          <w:tcPr>
            <w:tcW w:w="147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(17 677)</w:t>
            </w:r>
          </w:p>
        </w:tc>
      </w:tr>
      <w:tr>
        <w:trPr>
          <w:trHeight w:val="1" w:hRule="atLeast"/>
          <w:jc w:val="left"/>
        </w:trPr>
        <w:tc>
          <w:tcPr>
            <w:tcW w:w="5103"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витрати</w:t>
            </w:r>
          </w:p>
        </w:tc>
        <w:tc>
          <w:tcPr>
            <w:tcW w:w="1134"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2270</w:t>
            </w:r>
          </w:p>
        </w:tc>
        <w:tc>
          <w:tcPr>
            <w:tcW w:w="170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w:t>
            </w:r>
          </w:p>
        </w:tc>
        <w:tc>
          <w:tcPr>
            <w:tcW w:w="147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(769)</w:t>
            </w:r>
          </w:p>
        </w:tc>
      </w:tr>
    </w:tbl>
    <w:p>
      <w:pPr>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Концентрація операцій з пов'язаними сторонами за 2020 рік:</w:t>
      </w:r>
    </w:p>
    <w:tbl>
      <w:tblPr/>
      <w:tblGrid>
        <w:gridCol w:w="5103"/>
        <w:gridCol w:w="1134"/>
        <w:gridCol w:w="1701"/>
        <w:gridCol w:w="1471"/>
      </w:tblGrid>
      <w:tr>
        <w:trPr>
          <w:trHeight w:val="1" w:hRule="atLeast"/>
          <w:jc w:val="left"/>
        </w:trPr>
        <w:tc>
          <w:tcPr>
            <w:tcW w:w="5103"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Показники звіту сукупний дохід</w:t>
            </w:r>
          </w:p>
        </w:tc>
        <w:tc>
          <w:tcPr>
            <w:tcW w:w="1134"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Код рядка</w:t>
            </w:r>
          </w:p>
        </w:tc>
        <w:tc>
          <w:tcPr>
            <w:tcW w:w="1701"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Операції з пов'язаними сторонами</w:t>
            </w:r>
          </w:p>
        </w:tc>
        <w:tc>
          <w:tcPr>
            <w:tcW w:w="1471" w:type="dxa"/>
            <w:tcBorders>
              <w:top w:val="single" w:color="000000" w:sz="4"/>
              <w:left w:val="single" w:color="000000" w:sz="4"/>
              <w:bottom w:val="single" w:color="000000" w:sz="4"/>
              <w:right w:val="single" w:color="000000" w:sz="4"/>
            </w:tcBorders>
            <w:shd w:color="000000" w:fill="f2f2f2"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 по статті</w:t>
            </w:r>
          </w:p>
        </w:tc>
      </w:tr>
      <w:tr>
        <w:trPr>
          <w:trHeight w:val="1" w:hRule="atLeast"/>
          <w:jc w:val="left"/>
        </w:trPr>
        <w:tc>
          <w:tcPr>
            <w:tcW w:w="5103"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Чистий дохід від реалізації продукції (товарів, робіт, послуг)</w:t>
            </w:r>
          </w:p>
        </w:tc>
        <w:tc>
          <w:tcPr>
            <w:tcW w:w="113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2000</w:t>
            </w:r>
          </w:p>
        </w:tc>
        <w:tc>
          <w:tcPr>
            <w:tcW w:w="170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206 363</w:t>
            </w:r>
          </w:p>
        </w:tc>
        <w:tc>
          <w:tcPr>
            <w:tcW w:w="1471"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274 879</w:t>
            </w:r>
          </w:p>
        </w:tc>
      </w:tr>
      <w:tr>
        <w:trPr>
          <w:trHeight w:val="1" w:hRule="atLeast"/>
          <w:jc w:val="left"/>
        </w:trPr>
        <w:tc>
          <w:tcPr>
            <w:tcW w:w="5103"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операційні доходи</w:t>
            </w:r>
          </w:p>
        </w:tc>
        <w:tc>
          <w:tcPr>
            <w:tcW w:w="113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2120</w:t>
            </w:r>
          </w:p>
        </w:tc>
        <w:tc>
          <w:tcPr>
            <w:tcW w:w="170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3116</w:t>
            </w:r>
          </w:p>
        </w:tc>
        <w:tc>
          <w:tcPr>
            <w:tcW w:w="1471"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6383</w:t>
            </w:r>
          </w:p>
        </w:tc>
      </w:tr>
      <w:tr>
        <w:trPr>
          <w:trHeight w:val="1" w:hRule="atLeast"/>
          <w:jc w:val="left"/>
        </w:trPr>
        <w:tc>
          <w:tcPr>
            <w:tcW w:w="5103"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Адміністративні витрати</w:t>
            </w:r>
          </w:p>
        </w:tc>
        <w:tc>
          <w:tcPr>
            <w:tcW w:w="113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2130</w:t>
            </w:r>
          </w:p>
        </w:tc>
        <w:tc>
          <w:tcPr>
            <w:tcW w:w="170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rFonts w:ascii="Calibri" w:hAnsi="Calibri" w:cs="Calibri" w:eastAsia="Calibri"/>
                <w:color w:val="auto"/>
                <w:spacing w:val="0"/>
                <w:position w:val="0"/>
                <w:sz w:val="22"/>
                <w:shd w:fill="auto" w:val="clear"/>
              </w:rPr>
            </w:pPr>
          </w:p>
        </w:tc>
        <w:tc>
          <w:tcPr>
            <w:tcW w:w="1471"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(34 595)</w:t>
            </w:r>
          </w:p>
        </w:tc>
      </w:tr>
      <w:tr>
        <w:trPr>
          <w:trHeight w:val="1" w:hRule="atLeast"/>
          <w:jc w:val="left"/>
        </w:trPr>
        <w:tc>
          <w:tcPr>
            <w:tcW w:w="5103"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Витрати на збут</w:t>
            </w:r>
          </w:p>
        </w:tc>
        <w:tc>
          <w:tcPr>
            <w:tcW w:w="113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2150</w:t>
            </w:r>
          </w:p>
        </w:tc>
        <w:tc>
          <w:tcPr>
            <w:tcW w:w="170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(56 371)</w:t>
            </w:r>
          </w:p>
        </w:tc>
        <w:tc>
          <w:tcPr>
            <w:tcW w:w="1471"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(72 031)</w:t>
            </w:r>
          </w:p>
        </w:tc>
      </w:tr>
      <w:tr>
        <w:trPr>
          <w:trHeight w:val="1" w:hRule="atLeast"/>
          <w:jc w:val="left"/>
        </w:trPr>
        <w:tc>
          <w:tcPr>
            <w:tcW w:w="5103"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операційні витрати</w:t>
            </w:r>
          </w:p>
        </w:tc>
        <w:tc>
          <w:tcPr>
            <w:tcW w:w="113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2180</w:t>
            </w:r>
          </w:p>
        </w:tc>
        <w:tc>
          <w:tcPr>
            <w:tcW w:w="170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rFonts w:ascii="Calibri" w:hAnsi="Calibri" w:cs="Calibri" w:eastAsia="Calibri"/>
                <w:color w:val="auto"/>
                <w:spacing w:val="0"/>
                <w:position w:val="0"/>
                <w:sz w:val="22"/>
                <w:shd w:fill="auto" w:val="clear"/>
              </w:rPr>
            </w:pPr>
          </w:p>
        </w:tc>
        <w:tc>
          <w:tcPr>
            <w:tcW w:w="1471"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(14 838)</w:t>
            </w:r>
          </w:p>
        </w:tc>
      </w:tr>
      <w:tr>
        <w:trPr>
          <w:trHeight w:val="1" w:hRule="atLeast"/>
          <w:jc w:val="left"/>
        </w:trPr>
        <w:tc>
          <w:tcPr>
            <w:tcW w:w="5103"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доходи</w:t>
            </w:r>
          </w:p>
        </w:tc>
        <w:tc>
          <w:tcPr>
            <w:tcW w:w="113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2240</w:t>
            </w:r>
          </w:p>
        </w:tc>
        <w:tc>
          <w:tcPr>
            <w:tcW w:w="170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rFonts w:ascii="Calibri" w:hAnsi="Calibri" w:cs="Calibri" w:eastAsia="Calibri"/>
                <w:color w:val="auto"/>
                <w:spacing w:val="0"/>
                <w:position w:val="0"/>
                <w:sz w:val="22"/>
                <w:shd w:fill="auto" w:val="clear"/>
              </w:rPr>
            </w:pPr>
          </w:p>
        </w:tc>
        <w:tc>
          <w:tcPr>
            <w:tcW w:w="1471"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169</w:t>
            </w:r>
          </w:p>
        </w:tc>
      </w:tr>
      <w:tr>
        <w:trPr>
          <w:trHeight w:val="1" w:hRule="atLeast"/>
          <w:jc w:val="left"/>
        </w:trPr>
        <w:tc>
          <w:tcPr>
            <w:tcW w:w="5103"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фінансові доходи</w:t>
            </w:r>
          </w:p>
        </w:tc>
        <w:tc>
          <w:tcPr>
            <w:tcW w:w="113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2220</w:t>
            </w:r>
          </w:p>
        </w:tc>
        <w:tc>
          <w:tcPr>
            <w:tcW w:w="170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14 500</w:t>
            </w:r>
          </w:p>
        </w:tc>
        <w:tc>
          <w:tcPr>
            <w:tcW w:w="1471"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14 500</w:t>
            </w:r>
          </w:p>
        </w:tc>
      </w:tr>
      <w:tr>
        <w:trPr>
          <w:trHeight w:val="1" w:hRule="atLeast"/>
          <w:jc w:val="left"/>
        </w:trPr>
        <w:tc>
          <w:tcPr>
            <w:tcW w:w="5103"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Фінансові витрати</w:t>
            </w:r>
          </w:p>
        </w:tc>
        <w:tc>
          <w:tcPr>
            <w:tcW w:w="113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2550</w:t>
            </w:r>
          </w:p>
        </w:tc>
        <w:tc>
          <w:tcPr>
            <w:tcW w:w="170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(20 111)</w:t>
            </w:r>
          </w:p>
        </w:tc>
        <w:tc>
          <w:tcPr>
            <w:tcW w:w="1471"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(20 111)</w:t>
            </w:r>
          </w:p>
        </w:tc>
      </w:tr>
      <w:tr>
        <w:trPr>
          <w:trHeight w:val="1" w:hRule="atLeast"/>
          <w:jc w:val="left"/>
        </w:trPr>
        <w:tc>
          <w:tcPr>
            <w:tcW w:w="5103"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витрати</w:t>
            </w:r>
          </w:p>
        </w:tc>
        <w:tc>
          <w:tcPr>
            <w:tcW w:w="113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2270</w:t>
            </w:r>
          </w:p>
        </w:tc>
        <w:tc>
          <w:tcPr>
            <w:tcW w:w="170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(74 999)</w:t>
            </w:r>
          </w:p>
        </w:tc>
        <w:tc>
          <w:tcPr>
            <w:tcW w:w="1471"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(74 999)</w:t>
            </w:r>
          </w:p>
        </w:tc>
      </w:tr>
    </w:tbl>
    <w:p>
      <w:pPr>
        <w:spacing w:before="120" w:after="120" w:line="259"/>
        <w:ind w:right="0" w:left="0" w:firstLine="72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Виплати ключовому керуючому персоналу за звітний та попередній роки були проведені тільки у формі виплат за трудовими відносинами і складали   7 316 тис. грн. за 2019 рік та 7418 тис. грн. за 2020 рік.</w:t>
      </w:r>
    </w:p>
    <w:p>
      <w:pPr>
        <w:keepNext w:val="true"/>
        <w:tabs>
          <w:tab w:val="left" w:pos="0" w:leader="none"/>
        </w:tabs>
        <w:spacing w:before="120" w:after="120" w:line="240"/>
        <w:ind w:right="0" w:left="0" w:firstLine="0"/>
        <w:jc w:val="left"/>
        <w:rPr>
          <w:rFonts w:ascii="Times New Roman" w:hAnsi="Times New Roman" w:cs="Times New Roman" w:eastAsia="Times New Roman"/>
          <w:color w:val="000000"/>
          <w:spacing w:val="0"/>
          <w:position w:val="0"/>
          <w:sz w:val="24"/>
          <w:u w:val="single"/>
          <w:shd w:fill="auto" w:val="clear"/>
        </w:rPr>
      </w:pPr>
    </w:p>
    <w:p>
      <w:pPr>
        <w:keepNext w:val="true"/>
        <w:tabs>
          <w:tab w:val="left" w:pos="0" w:leader="none"/>
        </w:tabs>
        <w:spacing w:before="120" w:after="120" w:line="240"/>
        <w:ind w:right="0" w:left="735"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7. </w:t>
      </w:r>
      <w:r>
        <w:rPr>
          <w:rFonts w:ascii="Times New Roman" w:hAnsi="Times New Roman" w:cs="Times New Roman" w:eastAsia="Times New Roman"/>
          <w:b/>
          <w:color w:val="000000"/>
          <w:spacing w:val="0"/>
          <w:position w:val="0"/>
          <w:sz w:val="24"/>
          <w:u w:val="single"/>
          <w:shd w:fill="auto" w:val="clear"/>
        </w:rPr>
        <w:t xml:space="preserve">ЧИСТИЙ ДОХІД ВІД РЕАЛІЗАЦІЇ</w:t>
      </w:r>
    </w:p>
    <w:p>
      <w:pPr>
        <w:spacing w:before="120" w:after="120" w:line="259"/>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Виручка від реалізації готової продукції та послуг була представлена наступним чином:</w:t>
      </w:r>
    </w:p>
    <w:tbl>
      <w:tblPr/>
      <w:tblGrid>
        <w:gridCol w:w="6153"/>
        <w:gridCol w:w="1655"/>
        <w:gridCol w:w="1655"/>
      </w:tblGrid>
      <w:tr>
        <w:trPr>
          <w:trHeight w:val="1" w:hRule="atLeast"/>
          <w:jc w:val="left"/>
        </w:trPr>
        <w:tc>
          <w:tcPr>
            <w:tcW w:w="6153" w:type="dxa"/>
            <w:tcBorders>
              <w:top w:val="single" w:color="000000" w:sz="4"/>
              <w:left w:val="single" w:color="000000" w:sz="4"/>
              <w:bottom w:val="single" w:color="000000" w:sz="4"/>
              <w:right w:val="single" w:color="000000" w:sz="0"/>
            </w:tcBorders>
            <w:shd w:color="000000" w:fill="f2f2f2"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Виручка від реалізації</w:t>
            </w:r>
          </w:p>
        </w:tc>
        <w:tc>
          <w:tcPr>
            <w:tcW w:w="1655"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2019 </w:t>
            </w:r>
            <w:r>
              <w:rPr>
                <w:rFonts w:ascii="Times New Roman" w:hAnsi="Times New Roman" w:cs="Times New Roman" w:eastAsia="Times New Roman"/>
                <w:b/>
                <w:color w:val="000000"/>
                <w:spacing w:val="0"/>
                <w:position w:val="0"/>
                <w:sz w:val="22"/>
                <w:u w:val="single"/>
                <w:shd w:fill="auto" w:val="clear"/>
              </w:rPr>
              <w:t xml:space="preserve">рік</w:t>
            </w:r>
          </w:p>
        </w:tc>
        <w:tc>
          <w:tcPr>
            <w:tcW w:w="1655"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2020 </w:t>
            </w:r>
            <w:r>
              <w:rPr>
                <w:rFonts w:ascii="Times New Roman" w:hAnsi="Times New Roman" w:cs="Times New Roman" w:eastAsia="Times New Roman"/>
                <w:b/>
                <w:color w:val="000000"/>
                <w:spacing w:val="0"/>
                <w:position w:val="0"/>
                <w:sz w:val="22"/>
                <w:u w:val="single"/>
                <w:shd w:fill="auto" w:val="clear"/>
              </w:rPr>
              <w:t xml:space="preserve">рік</w:t>
            </w:r>
          </w:p>
        </w:tc>
      </w:tr>
      <w:tr>
        <w:trPr>
          <w:trHeight w:val="1" w:hRule="atLeast"/>
          <w:jc w:val="left"/>
        </w:trPr>
        <w:tc>
          <w:tcPr>
            <w:tcW w:w="6153"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37"/>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Чистий дохід від реалізації готової продукції</w:t>
            </w:r>
          </w:p>
        </w:tc>
        <w:tc>
          <w:tcPr>
            <w:tcW w:w="1655"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393 195</w:t>
            </w:r>
          </w:p>
        </w:tc>
        <w:tc>
          <w:tcPr>
            <w:tcW w:w="1655"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274 644</w:t>
            </w:r>
          </w:p>
        </w:tc>
      </w:tr>
      <w:tr>
        <w:trPr>
          <w:trHeight w:val="1" w:hRule="atLeast"/>
          <w:jc w:val="left"/>
        </w:trPr>
        <w:tc>
          <w:tcPr>
            <w:tcW w:w="6153"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37"/>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Чистий дохід від реалізації послуг</w:t>
            </w:r>
          </w:p>
        </w:tc>
        <w:tc>
          <w:tcPr>
            <w:tcW w:w="1655"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12 892</w:t>
            </w:r>
          </w:p>
        </w:tc>
        <w:tc>
          <w:tcPr>
            <w:tcW w:w="1655"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191</w:t>
            </w:r>
          </w:p>
        </w:tc>
      </w:tr>
      <w:tr>
        <w:trPr>
          <w:trHeight w:val="1" w:hRule="atLeast"/>
          <w:jc w:val="left"/>
        </w:trPr>
        <w:tc>
          <w:tcPr>
            <w:tcW w:w="6153"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37"/>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Чистий дохід від реалізації товарів</w:t>
            </w:r>
          </w:p>
        </w:tc>
        <w:tc>
          <w:tcPr>
            <w:tcW w:w="1655"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w:t>
            </w:r>
          </w:p>
        </w:tc>
        <w:tc>
          <w:tcPr>
            <w:tcW w:w="1655"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44</w:t>
            </w:r>
          </w:p>
        </w:tc>
      </w:tr>
      <w:tr>
        <w:trPr>
          <w:trHeight w:val="1" w:hRule="atLeast"/>
          <w:jc w:val="left"/>
        </w:trPr>
        <w:tc>
          <w:tcPr>
            <w:tcW w:w="6153"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1655"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406 087</w:t>
            </w:r>
          </w:p>
        </w:tc>
        <w:tc>
          <w:tcPr>
            <w:tcW w:w="1655"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274 879</w:t>
            </w:r>
          </w:p>
        </w:tc>
      </w:tr>
    </w:tbl>
    <w:p>
      <w:pPr>
        <w:keepNext w:val="true"/>
        <w:tabs>
          <w:tab w:val="left" w:pos="0" w:leader="none"/>
        </w:tabs>
        <w:spacing w:before="120" w:after="120" w:line="240"/>
        <w:ind w:right="0" w:left="735"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8. </w:t>
      </w:r>
      <w:r>
        <w:rPr>
          <w:rFonts w:ascii="Times New Roman" w:hAnsi="Times New Roman" w:cs="Times New Roman" w:eastAsia="Times New Roman"/>
          <w:b/>
          <w:color w:val="000000"/>
          <w:spacing w:val="0"/>
          <w:position w:val="0"/>
          <w:sz w:val="24"/>
          <w:u w:val="single"/>
          <w:shd w:fill="auto" w:val="clear"/>
        </w:rPr>
        <w:t xml:space="preserve">СОБІВАРТІСТЬ РЕАЛІЗАЦІЇ</w:t>
      </w:r>
    </w:p>
    <w:p>
      <w:pPr>
        <w:spacing w:before="120" w:after="120" w:line="259"/>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Собівартість від реалізації була представлена наступним чином:</w:t>
      </w:r>
    </w:p>
    <w:tbl>
      <w:tblPr/>
      <w:tblGrid>
        <w:gridCol w:w="6155"/>
        <w:gridCol w:w="1653"/>
        <w:gridCol w:w="1655"/>
      </w:tblGrid>
      <w:tr>
        <w:trPr>
          <w:trHeight w:val="1" w:hRule="atLeast"/>
          <w:jc w:val="left"/>
        </w:trPr>
        <w:tc>
          <w:tcPr>
            <w:tcW w:w="6155" w:type="dxa"/>
            <w:tcBorders>
              <w:top w:val="single" w:color="000000" w:sz="4"/>
              <w:left w:val="single" w:color="000000" w:sz="4"/>
              <w:bottom w:val="single" w:color="000000" w:sz="4"/>
              <w:right w:val="single" w:color="000000" w:sz="0"/>
            </w:tcBorders>
            <w:shd w:color="000000" w:fill="f2f2f2"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Собівартість від реалізації</w:t>
            </w:r>
          </w:p>
        </w:tc>
        <w:tc>
          <w:tcPr>
            <w:tcW w:w="1653"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2019 </w:t>
            </w:r>
            <w:r>
              <w:rPr>
                <w:rFonts w:ascii="Times New Roman" w:hAnsi="Times New Roman" w:cs="Times New Roman" w:eastAsia="Times New Roman"/>
                <w:b/>
                <w:color w:val="000000"/>
                <w:spacing w:val="0"/>
                <w:position w:val="0"/>
                <w:sz w:val="22"/>
                <w:u w:val="single"/>
                <w:shd w:fill="auto" w:val="clear"/>
              </w:rPr>
              <w:t xml:space="preserve">рік</w:t>
            </w:r>
          </w:p>
        </w:tc>
        <w:tc>
          <w:tcPr>
            <w:tcW w:w="1655"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2020 </w:t>
            </w:r>
            <w:r>
              <w:rPr>
                <w:rFonts w:ascii="Times New Roman" w:hAnsi="Times New Roman" w:cs="Times New Roman" w:eastAsia="Times New Roman"/>
                <w:b/>
                <w:color w:val="000000"/>
                <w:spacing w:val="0"/>
                <w:position w:val="0"/>
                <w:sz w:val="22"/>
                <w:u w:val="single"/>
                <w:shd w:fill="auto" w:val="clear"/>
              </w:rPr>
              <w:t xml:space="preserve">рік</w:t>
            </w:r>
          </w:p>
        </w:tc>
      </w:tr>
      <w:tr>
        <w:trPr>
          <w:trHeight w:val="1" w:hRule="atLeast"/>
          <w:jc w:val="left"/>
        </w:trPr>
        <w:tc>
          <w:tcPr>
            <w:tcW w:w="6155"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Собівартість готової продукції</w:t>
            </w:r>
          </w:p>
        </w:tc>
        <w:tc>
          <w:tcPr>
            <w:tcW w:w="165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(253 807)</w:t>
            </w:r>
          </w:p>
        </w:tc>
        <w:tc>
          <w:tcPr>
            <w:tcW w:w="1655"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(156 069)</w:t>
            </w:r>
          </w:p>
        </w:tc>
      </w:tr>
      <w:tr>
        <w:trPr>
          <w:trHeight w:val="1" w:hRule="atLeast"/>
          <w:jc w:val="left"/>
        </w:trPr>
        <w:tc>
          <w:tcPr>
            <w:tcW w:w="6155"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Собівартість товарів, послуг</w:t>
            </w:r>
          </w:p>
        </w:tc>
        <w:tc>
          <w:tcPr>
            <w:tcW w:w="165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w:t>
            </w:r>
          </w:p>
        </w:tc>
        <w:tc>
          <w:tcPr>
            <w:tcW w:w="1655"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(120)</w:t>
            </w:r>
          </w:p>
        </w:tc>
      </w:tr>
      <w:tr>
        <w:trPr>
          <w:trHeight w:val="1" w:hRule="atLeast"/>
          <w:jc w:val="left"/>
        </w:trPr>
        <w:tc>
          <w:tcPr>
            <w:tcW w:w="6155"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165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(253 807)</w:t>
            </w:r>
          </w:p>
        </w:tc>
        <w:tc>
          <w:tcPr>
            <w:tcW w:w="1655"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(156 189)</w:t>
            </w:r>
          </w:p>
        </w:tc>
      </w:tr>
    </w:tbl>
    <w:p>
      <w:pPr>
        <w:keepNext w:val="true"/>
        <w:tabs>
          <w:tab w:val="left" w:pos="0" w:leader="none"/>
        </w:tabs>
        <w:spacing w:before="120" w:after="120" w:line="240"/>
        <w:ind w:right="0" w:left="72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9. </w:t>
      </w:r>
      <w:r>
        <w:rPr>
          <w:rFonts w:ascii="Times New Roman" w:hAnsi="Times New Roman" w:cs="Times New Roman" w:eastAsia="Times New Roman"/>
          <w:b/>
          <w:color w:val="000000"/>
          <w:spacing w:val="0"/>
          <w:position w:val="0"/>
          <w:sz w:val="24"/>
          <w:u w:val="single"/>
          <w:shd w:fill="auto" w:val="clear"/>
        </w:rPr>
        <w:t xml:space="preserve">АДМІНІСТРАТИВНІ ВИТРАТИ</w:t>
      </w:r>
    </w:p>
    <w:p>
      <w:pPr>
        <w:spacing w:before="120" w:after="120" w:line="259"/>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Адміністративні витрати були представлені наступним чином:</w:t>
      </w:r>
    </w:p>
    <w:tbl>
      <w:tblPr/>
      <w:tblGrid>
        <w:gridCol w:w="6149"/>
        <w:gridCol w:w="1650"/>
        <w:gridCol w:w="1664"/>
      </w:tblGrid>
      <w:tr>
        <w:trPr>
          <w:trHeight w:val="1" w:hRule="atLeast"/>
          <w:jc w:val="left"/>
        </w:trPr>
        <w:tc>
          <w:tcPr>
            <w:tcW w:w="6149" w:type="dxa"/>
            <w:tcBorders>
              <w:top w:val="single" w:color="000000" w:sz="4"/>
              <w:left w:val="single" w:color="000000" w:sz="4"/>
              <w:bottom w:val="single" w:color="000000" w:sz="4"/>
              <w:right w:val="single" w:color="000000" w:sz="0"/>
            </w:tcBorders>
            <w:shd w:color="000000" w:fill="f2f2f2"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Адміністративні витрати  </w:t>
            </w:r>
          </w:p>
        </w:tc>
        <w:tc>
          <w:tcPr>
            <w:tcW w:w="1650"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2019 </w:t>
            </w:r>
            <w:r>
              <w:rPr>
                <w:rFonts w:ascii="Times New Roman" w:hAnsi="Times New Roman" w:cs="Times New Roman" w:eastAsia="Times New Roman"/>
                <w:b/>
                <w:color w:val="000000"/>
                <w:spacing w:val="0"/>
                <w:position w:val="0"/>
                <w:sz w:val="22"/>
                <w:u w:val="single"/>
                <w:shd w:fill="auto" w:val="clear"/>
              </w:rPr>
              <w:t xml:space="preserve">рік</w:t>
            </w:r>
          </w:p>
        </w:tc>
        <w:tc>
          <w:tcPr>
            <w:tcW w:w="1664"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2020 </w:t>
            </w:r>
            <w:r>
              <w:rPr>
                <w:rFonts w:ascii="Times New Roman" w:hAnsi="Times New Roman" w:cs="Times New Roman" w:eastAsia="Times New Roman"/>
                <w:b/>
                <w:color w:val="000000"/>
                <w:spacing w:val="0"/>
                <w:position w:val="0"/>
                <w:sz w:val="22"/>
                <w:u w:val="single"/>
                <w:shd w:fill="auto" w:val="clear"/>
              </w:rPr>
              <w:t xml:space="preserve">рік</w:t>
            </w:r>
          </w:p>
        </w:tc>
      </w:tr>
      <w:tr>
        <w:trPr>
          <w:trHeight w:val="1" w:hRule="atLeast"/>
          <w:jc w:val="left"/>
        </w:trPr>
        <w:tc>
          <w:tcPr>
            <w:tcW w:w="6149"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Заробітна плата та відповідні нарахування</w:t>
            </w:r>
          </w:p>
        </w:tc>
        <w:tc>
          <w:tcPr>
            <w:tcW w:w="1650"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(16 468)</w:t>
            </w:r>
          </w:p>
        </w:tc>
        <w:tc>
          <w:tcPr>
            <w:tcW w:w="166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(18 879)</w:t>
            </w:r>
          </w:p>
        </w:tc>
      </w:tr>
      <w:tr>
        <w:trPr>
          <w:trHeight w:val="1" w:hRule="atLeast"/>
          <w:jc w:val="left"/>
        </w:trPr>
        <w:tc>
          <w:tcPr>
            <w:tcW w:w="6149"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Амортизація</w:t>
            </w:r>
          </w:p>
        </w:tc>
        <w:tc>
          <w:tcPr>
            <w:tcW w:w="1650"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(1 523)</w:t>
            </w:r>
          </w:p>
        </w:tc>
        <w:tc>
          <w:tcPr>
            <w:tcW w:w="166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(1 781)</w:t>
            </w:r>
          </w:p>
        </w:tc>
      </w:tr>
      <w:tr>
        <w:trPr>
          <w:trHeight w:val="1" w:hRule="atLeast"/>
          <w:jc w:val="left"/>
        </w:trPr>
        <w:tc>
          <w:tcPr>
            <w:tcW w:w="6149"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Професійні та інформаційно-консультаційні послуги</w:t>
            </w:r>
          </w:p>
        </w:tc>
        <w:tc>
          <w:tcPr>
            <w:tcW w:w="1650"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(447)</w:t>
            </w:r>
          </w:p>
        </w:tc>
        <w:tc>
          <w:tcPr>
            <w:tcW w:w="166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(6 260)</w:t>
            </w:r>
          </w:p>
        </w:tc>
      </w:tr>
      <w:tr>
        <w:trPr>
          <w:trHeight w:val="1" w:hRule="atLeast"/>
          <w:jc w:val="left"/>
        </w:trPr>
        <w:tc>
          <w:tcPr>
            <w:tcW w:w="6149"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Послуги банку </w:t>
            </w:r>
          </w:p>
        </w:tc>
        <w:tc>
          <w:tcPr>
            <w:tcW w:w="1650"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(664)</w:t>
            </w:r>
          </w:p>
        </w:tc>
        <w:tc>
          <w:tcPr>
            <w:tcW w:w="166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(474)</w:t>
            </w:r>
          </w:p>
        </w:tc>
      </w:tr>
      <w:tr>
        <w:trPr>
          <w:trHeight w:val="1" w:hRule="atLeast"/>
          <w:jc w:val="left"/>
        </w:trPr>
        <w:tc>
          <w:tcPr>
            <w:tcW w:w="6149"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Витрати на відрядження</w:t>
            </w:r>
          </w:p>
        </w:tc>
        <w:tc>
          <w:tcPr>
            <w:tcW w:w="1650"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(1 083)</w:t>
            </w:r>
          </w:p>
        </w:tc>
        <w:tc>
          <w:tcPr>
            <w:tcW w:w="166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(352)</w:t>
            </w:r>
          </w:p>
        </w:tc>
      </w:tr>
      <w:tr>
        <w:trPr>
          <w:trHeight w:val="1" w:hRule="atLeast"/>
          <w:jc w:val="left"/>
        </w:trPr>
        <w:tc>
          <w:tcPr>
            <w:tcW w:w="6149"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w:t>
            </w:r>
          </w:p>
        </w:tc>
        <w:tc>
          <w:tcPr>
            <w:tcW w:w="1650"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(10 251)</w:t>
            </w:r>
          </w:p>
        </w:tc>
        <w:tc>
          <w:tcPr>
            <w:tcW w:w="166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(6 849)</w:t>
            </w:r>
          </w:p>
        </w:tc>
      </w:tr>
      <w:tr>
        <w:trPr>
          <w:trHeight w:val="1" w:hRule="atLeast"/>
          <w:jc w:val="left"/>
        </w:trPr>
        <w:tc>
          <w:tcPr>
            <w:tcW w:w="6149"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1650"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(30 436)</w:t>
            </w:r>
          </w:p>
        </w:tc>
        <w:tc>
          <w:tcPr>
            <w:tcW w:w="166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(34 595)</w:t>
            </w:r>
          </w:p>
        </w:tc>
      </w:tr>
    </w:tbl>
    <w:p>
      <w:pPr>
        <w:keepNext w:val="true"/>
        <w:tabs>
          <w:tab w:val="left" w:pos="0" w:leader="none"/>
        </w:tabs>
        <w:spacing w:before="120" w:after="120" w:line="240"/>
        <w:ind w:right="0" w:left="675" w:firstLine="0"/>
        <w:jc w:val="left"/>
        <w:rPr>
          <w:rFonts w:ascii="Times New Roman" w:hAnsi="Times New Roman" w:cs="Times New Roman" w:eastAsia="Times New Roman"/>
          <w:color w:val="000000"/>
          <w:spacing w:val="0"/>
          <w:position w:val="0"/>
          <w:sz w:val="24"/>
          <w:u w:val="single"/>
          <w:shd w:fill="auto" w:val="clear"/>
        </w:rPr>
      </w:pPr>
    </w:p>
    <w:p>
      <w:pPr>
        <w:keepNext w:val="true"/>
        <w:tabs>
          <w:tab w:val="left" w:pos="0" w:leader="none"/>
        </w:tabs>
        <w:spacing w:before="120" w:after="120" w:line="240"/>
        <w:ind w:right="0" w:left="675"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10. </w:t>
      </w:r>
      <w:r>
        <w:rPr>
          <w:rFonts w:ascii="Times New Roman" w:hAnsi="Times New Roman" w:cs="Times New Roman" w:eastAsia="Times New Roman"/>
          <w:b/>
          <w:color w:val="000000"/>
          <w:spacing w:val="0"/>
          <w:position w:val="0"/>
          <w:sz w:val="24"/>
          <w:u w:val="single"/>
          <w:shd w:fill="auto" w:val="clear"/>
        </w:rPr>
        <w:t xml:space="preserve">ВИТРАТИ НА ЗБУТ</w:t>
      </w:r>
    </w:p>
    <w:p>
      <w:pPr>
        <w:spacing w:before="120" w:after="120" w:line="259"/>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Витрати на збут були представлені наступним чином:</w:t>
      </w:r>
    </w:p>
    <w:tbl>
      <w:tblPr/>
      <w:tblGrid>
        <w:gridCol w:w="6157"/>
        <w:gridCol w:w="1653"/>
        <w:gridCol w:w="1653"/>
      </w:tblGrid>
      <w:tr>
        <w:trPr>
          <w:trHeight w:val="1" w:hRule="atLeast"/>
          <w:jc w:val="left"/>
        </w:trPr>
        <w:tc>
          <w:tcPr>
            <w:tcW w:w="6157" w:type="dxa"/>
            <w:tcBorders>
              <w:top w:val="single" w:color="000000" w:sz="4"/>
              <w:left w:val="single" w:color="000000" w:sz="4"/>
              <w:bottom w:val="single" w:color="000000" w:sz="4"/>
              <w:right w:val="single" w:color="000000" w:sz="0"/>
            </w:tcBorders>
            <w:shd w:color="000000" w:fill="f2f2f2"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Витрати на збут</w:t>
            </w:r>
          </w:p>
        </w:tc>
        <w:tc>
          <w:tcPr>
            <w:tcW w:w="1653"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2019 </w:t>
            </w:r>
            <w:r>
              <w:rPr>
                <w:rFonts w:ascii="Times New Roman" w:hAnsi="Times New Roman" w:cs="Times New Roman" w:eastAsia="Times New Roman"/>
                <w:b/>
                <w:color w:val="000000"/>
                <w:spacing w:val="0"/>
                <w:position w:val="0"/>
                <w:sz w:val="22"/>
                <w:u w:val="single"/>
                <w:shd w:fill="auto" w:val="clear"/>
              </w:rPr>
              <w:t xml:space="preserve">рік</w:t>
            </w:r>
          </w:p>
        </w:tc>
        <w:tc>
          <w:tcPr>
            <w:tcW w:w="1653"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2020 </w:t>
            </w:r>
            <w:r>
              <w:rPr>
                <w:rFonts w:ascii="Times New Roman" w:hAnsi="Times New Roman" w:cs="Times New Roman" w:eastAsia="Times New Roman"/>
                <w:b/>
                <w:color w:val="000000"/>
                <w:spacing w:val="0"/>
                <w:position w:val="0"/>
                <w:sz w:val="22"/>
                <w:u w:val="single"/>
                <w:shd w:fill="auto" w:val="clear"/>
              </w:rPr>
              <w:t xml:space="preserve">рік</w:t>
            </w:r>
          </w:p>
        </w:tc>
      </w:tr>
      <w:tr>
        <w:trPr>
          <w:trHeight w:val="1" w:hRule="atLeast"/>
          <w:jc w:val="left"/>
        </w:trPr>
        <w:tc>
          <w:tcPr>
            <w:tcW w:w="6157"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Заробітна плата та відповідні нарахування</w:t>
            </w:r>
          </w:p>
        </w:tc>
        <w:tc>
          <w:tcPr>
            <w:tcW w:w="165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(1 209)</w:t>
            </w:r>
          </w:p>
        </w:tc>
        <w:tc>
          <w:tcPr>
            <w:tcW w:w="1653"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(1 175)</w:t>
            </w:r>
          </w:p>
        </w:tc>
      </w:tr>
      <w:tr>
        <w:trPr>
          <w:trHeight w:val="1" w:hRule="atLeast"/>
          <w:jc w:val="left"/>
        </w:trPr>
        <w:tc>
          <w:tcPr>
            <w:tcW w:w="6157"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Витрати тари та тарних матеріалів</w:t>
            </w:r>
          </w:p>
        </w:tc>
        <w:tc>
          <w:tcPr>
            <w:tcW w:w="165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(12 433)</w:t>
            </w:r>
          </w:p>
        </w:tc>
        <w:tc>
          <w:tcPr>
            <w:tcW w:w="1653"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(5 252)</w:t>
            </w:r>
          </w:p>
        </w:tc>
      </w:tr>
      <w:tr>
        <w:trPr>
          <w:trHeight w:val="1" w:hRule="atLeast"/>
          <w:jc w:val="left"/>
        </w:trPr>
        <w:tc>
          <w:tcPr>
            <w:tcW w:w="6157"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Транспортні витрати</w:t>
            </w:r>
          </w:p>
        </w:tc>
        <w:tc>
          <w:tcPr>
            <w:tcW w:w="165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(53 937)</w:t>
            </w:r>
          </w:p>
        </w:tc>
        <w:tc>
          <w:tcPr>
            <w:tcW w:w="1653"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(37 468)</w:t>
            </w:r>
          </w:p>
        </w:tc>
      </w:tr>
      <w:tr>
        <w:trPr>
          <w:trHeight w:val="1" w:hRule="atLeast"/>
          <w:jc w:val="left"/>
        </w:trPr>
        <w:tc>
          <w:tcPr>
            <w:tcW w:w="6157"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Амортизація</w:t>
            </w:r>
          </w:p>
        </w:tc>
        <w:tc>
          <w:tcPr>
            <w:tcW w:w="165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(173)</w:t>
            </w:r>
          </w:p>
        </w:tc>
        <w:tc>
          <w:tcPr>
            <w:tcW w:w="1653"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(214)</w:t>
            </w:r>
          </w:p>
        </w:tc>
      </w:tr>
      <w:tr>
        <w:trPr>
          <w:trHeight w:val="1" w:hRule="atLeast"/>
          <w:jc w:val="left"/>
        </w:trPr>
        <w:tc>
          <w:tcPr>
            <w:tcW w:w="6157"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Послуги експедирування</w:t>
            </w:r>
          </w:p>
        </w:tc>
        <w:tc>
          <w:tcPr>
            <w:tcW w:w="165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(10 331)</w:t>
            </w:r>
          </w:p>
        </w:tc>
        <w:tc>
          <w:tcPr>
            <w:tcW w:w="1653"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(13 415)</w:t>
            </w:r>
          </w:p>
        </w:tc>
      </w:tr>
      <w:tr>
        <w:trPr>
          <w:trHeight w:val="1" w:hRule="atLeast"/>
          <w:jc w:val="left"/>
        </w:trPr>
        <w:tc>
          <w:tcPr>
            <w:tcW w:w="6157"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w:t>
            </w:r>
          </w:p>
        </w:tc>
        <w:tc>
          <w:tcPr>
            <w:tcW w:w="165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(17 419)</w:t>
            </w:r>
          </w:p>
        </w:tc>
        <w:tc>
          <w:tcPr>
            <w:tcW w:w="1653"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center"/>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(14 507)</w:t>
            </w:r>
          </w:p>
        </w:tc>
      </w:tr>
      <w:tr>
        <w:trPr>
          <w:trHeight w:val="1" w:hRule="atLeast"/>
          <w:jc w:val="left"/>
        </w:trPr>
        <w:tc>
          <w:tcPr>
            <w:tcW w:w="6157"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165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(95 502)</w:t>
            </w:r>
          </w:p>
        </w:tc>
        <w:tc>
          <w:tcPr>
            <w:tcW w:w="1653"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(72 031)</w:t>
            </w:r>
          </w:p>
        </w:tc>
      </w:tr>
    </w:tbl>
    <w:p>
      <w:pPr>
        <w:keepNext w:val="true"/>
        <w:tabs>
          <w:tab w:val="left" w:pos="0" w:leader="none"/>
        </w:tabs>
        <w:spacing w:before="120" w:after="120" w:line="240"/>
        <w:ind w:right="0" w:left="0" w:firstLine="0"/>
        <w:jc w:val="left"/>
        <w:rPr>
          <w:rFonts w:ascii="Times New Roman" w:hAnsi="Times New Roman" w:cs="Times New Roman" w:eastAsia="Times New Roman"/>
          <w:color w:val="000000"/>
          <w:spacing w:val="0"/>
          <w:position w:val="0"/>
          <w:sz w:val="24"/>
          <w:u w:val="single"/>
          <w:shd w:fill="auto" w:val="clear"/>
        </w:rPr>
      </w:pPr>
    </w:p>
    <w:p>
      <w:pPr>
        <w:keepNext w:val="true"/>
        <w:tabs>
          <w:tab w:val="left" w:pos="0" w:leader="none"/>
        </w:tabs>
        <w:spacing w:before="120" w:after="120" w:line="240"/>
        <w:ind w:right="0" w:left="66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11. </w:t>
      </w:r>
      <w:r>
        <w:rPr>
          <w:rFonts w:ascii="Times New Roman" w:hAnsi="Times New Roman" w:cs="Times New Roman" w:eastAsia="Times New Roman"/>
          <w:b/>
          <w:color w:val="000000"/>
          <w:spacing w:val="0"/>
          <w:position w:val="0"/>
          <w:sz w:val="24"/>
          <w:u w:val="single"/>
          <w:shd w:fill="auto" w:val="clear"/>
        </w:rPr>
        <w:t xml:space="preserve">ІНШІ ОПЕРАЦІЙНІ ДОХОДИ ТА ВИТРАТИ</w:t>
      </w:r>
    </w:p>
    <w:p>
      <w:pPr>
        <w:spacing w:before="120" w:after="120" w:line="259"/>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Інші операційні доходи та витрати були представлені наступним чином:</w:t>
      </w:r>
    </w:p>
    <w:tbl>
      <w:tblPr/>
      <w:tblGrid>
        <w:gridCol w:w="6081"/>
        <w:gridCol w:w="1638"/>
        <w:gridCol w:w="1744"/>
      </w:tblGrid>
      <w:tr>
        <w:trPr>
          <w:trHeight w:val="1" w:hRule="atLeast"/>
          <w:jc w:val="left"/>
        </w:trPr>
        <w:tc>
          <w:tcPr>
            <w:tcW w:w="6081"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2019 </w:t>
            </w:r>
            <w:r>
              <w:rPr>
                <w:rFonts w:ascii="Times New Roman" w:hAnsi="Times New Roman" w:cs="Times New Roman" w:eastAsia="Times New Roman"/>
                <w:b/>
                <w:color w:val="000000"/>
                <w:spacing w:val="0"/>
                <w:position w:val="0"/>
                <w:sz w:val="22"/>
                <w:u w:val="single"/>
                <w:shd w:fill="auto" w:val="clear"/>
              </w:rPr>
              <w:t xml:space="preserve">рік</w:t>
            </w:r>
          </w:p>
        </w:tc>
        <w:tc>
          <w:tcPr>
            <w:tcW w:w="1638"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доходи</w:t>
            </w:r>
          </w:p>
        </w:tc>
        <w:tc>
          <w:tcPr>
            <w:tcW w:w="1744"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витрати</w:t>
            </w:r>
          </w:p>
        </w:tc>
      </w:tr>
      <w:tr>
        <w:trPr>
          <w:trHeight w:val="1" w:hRule="atLeast"/>
          <w:jc w:val="left"/>
        </w:trPr>
        <w:tc>
          <w:tcPr>
            <w:tcW w:w="6081" w:type="dxa"/>
            <w:tcBorders>
              <w:top w:val="single" w:color="000000" w:sz="4"/>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Доходи (витрати) від купівлі-продажу іноземної валюти</w:t>
            </w:r>
          </w:p>
        </w:tc>
        <w:tc>
          <w:tcPr>
            <w:tcW w:w="1638" w:type="dxa"/>
            <w:tcBorders>
              <w:top w:val="single" w:color="000000" w:sz="4"/>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806</w:t>
            </w:r>
          </w:p>
        </w:tc>
        <w:tc>
          <w:tcPr>
            <w:tcW w:w="1744"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(1 418)</w:t>
            </w:r>
          </w:p>
        </w:tc>
      </w:tr>
      <w:tr>
        <w:trPr>
          <w:trHeight w:val="1" w:hRule="atLeast"/>
          <w:jc w:val="left"/>
        </w:trPr>
        <w:tc>
          <w:tcPr>
            <w:tcW w:w="6081"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Доходи (витрати) від операційної оренди</w:t>
            </w:r>
          </w:p>
        </w:tc>
        <w:tc>
          <w:tcPr>
            <w:tcW w:w="1638"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55</w:t>
            </w:r>
          </w:p>
        </w:tc>
        <w:tc>
          <w:tcPr>
            <w:tcW w:w="174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w:t>
            </w:r>
          </w:p>
        </w:tc>
      </w:tr>
      <w:tr>
        <w:trPr>
          <w:trHeight w:val="1" w:hRule="atLeast"/>
          <w:jc w:val="left"/>
        </w:trPr>
        <w:tc>
          <w:tcPr>
            <w:tcW w:w="6081"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Визнані штрафи, пені, неустойки</w:t>
            </w:r>
          </w:p>
        </w:tc>
        <w:tc>
          <w:tcPr>
            <w:tcW w:w="1638"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w:t>
            </w:r>
          </w:p>
        </w:tc>
        <w:tc>
          <w:tcPr>
            <w:tcW w:w="174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(333)</w:t>
            </w:r>
          </w:p>
        </w:tc>
      </w:tr>
      <w:tr>
        <w:trPr>
          <w:trHeight w:val="1" w:hRule="atLeast"/>
          <w:jc w:val="left"/>
        </w:trPr>
        <w:tc>
          <w:tcPr>
            <w:tcW w:w="6081"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Доходи (витрати) від реалізації інших оборотних активів</w:t>
            </w:r>
          </w:p>
        </w:tc>
        <w:tc>
          <w:tcPr>
            <w:tcW w:w="1638"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540</w:t>
            </w:r>
          </w:p>
        </w:tc>
        <w:tc>
          <w:tcPr>
            <w:tcW w:w="174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(399)</w:t>
            </w:r>
          </w:p>
        </w:tc>
      </w:tr>
      <w:tr>
        <w:trPr>
          <w:trHeight w:val="1" w:hRule="atLeast"/>
          <w:jc w:val="left"/>
        </w:trPr>
        <w:tc>
          <w:tcPr>
            <w:tcW w:w="6081"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Доходи (витрати) від операційної курсової різниці</w:t>
            </w:r>
          </w:p>
        </w:tc>
        <w:tc>
          <w:tcPr>
            <w:tcW w:w="1638"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77 876</w:t>
            </w:r>
          </w:p>
        </w:tc>
        <w:tc>
          <w:tcPr>
            <w:tcW w:w="174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(43 263)</w:t>
            </w:r>
          </w:p>
        </w:tc>
      </w:tr>
      <w:tr>
        <w:trPr>
          <w:trHeight w:val="1" w:hRule="atLeast"/>
          <w:jc w:val="left"/>
        </w:trPr>
        <w:tc>
          <w:tcPr>
            <w:tcW w:w="6081"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доходи/(витрати)</w:t>
            </w:r>
          </w:p>
        </w:tc>
        <w:tc>
          <w:tcPr>
            <w:tcW w:w="1638"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5 420</w:t>
            </w:r>
          </w:p>
        </w:tc>
        <w:tc>
          <w:tcPr>
            <w:tcW w:w="174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(9 398)</w:t>
            </w:r>
          </w:p>
        </w:tc>
      </w:tr>
      <w:tr>
        <w:trPr>
          <w:trHeight w:val="1" w:hRule="atLeast"/>
          <w:jc w:val="left"/>
        </w:trPr>
        <w:tc>
          <w:tcPr>
            <w:tcW w:w="6081"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1638"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84 717</w:t>
            </w:r>
          </w:p>
        </w:tc>
        <w:tc>
          <w:tcPr>
            <w:tcW w:w="174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(54 811)</w:t>
            </w:r>
          </w:p>
        </w:tc>
      </w:tr>
    </w:tbl>
    <w:p>
      <w:pPr>
        <w:spacing w:before="120" w:after="120" w:line="259"/>
        <w:ind w:right="0" w:left="0" w:firstLine="0"/>
        <w:jc w:val="left"/>
        <w:rPr>
          <w:rFonts w:ascii="Times New Roman" w:hAnsi="Times New Roman" w:cs="Times New Roman" w:eastAsia="Times New Roman"/>
          <w:color w:val="000000"/>
          <w:spacing w:val="0"/>
          <w:position w:val="0"/>
          <w:sz w:val="24"/>
          <w:u w:val="single"/>
          <w:shd w:fill="auto" w:val="clear"/>
        </w:rPr>
      </w:pPr>
    </w:p>
    <w:p>
      <w:pPr>
        <w:spacing w:before="120" w:after="120" w:line="259"/>
        <w:ind w:right="0" w:left="0" w:firstLine="0"/>
        <w:jc w:val="left"/>
        <w:rPr>
          <w:rFonts w:ascii="Times New Roman" w:hAnsi="Times New Roman" w:cs="Times New Roman" w:eastAsia="Times New Roman"/>
          <w:color w:val="000000"/>
          <w:spacing w:val="0"/>
          <w:position w:val="0"/>
          <w:sz w:val="24"/>
          <w:u w:val="single"/>
          <w:shd w:fill="auto" w:val="clear"/>
        </w:rPr>
      </w:pPr>
    </w:p>
    <w:tbl>
      <w:tblPr/>
      <w:tblGrid>
        <w:gridCol w:w="6242"/>
        <w:gridCol w:w="1677"/>
        <w:gridCol w:w="1544"/>
      </w:tblGrid>
      <w:tr>
        <w:trPr>
          <w:trHeight w:val="1" w:hRule="atLeast"/>
          <w:jc w:val="left"/>
        </w:trPr>
        <w:tc>
          <w:tcPr>
            <w:tcW w:w="6242"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2020 </w:t>
            </w:r>
            <w:r>
              <w:rPr>
                <w:rFonts w:ascii="Times New Roman" w:hAnsi="Times New Roman" w:cs="Times New Roman" w:eastAsia="Times New Roman"/>
                <w:b/>
                <w:color w:val="000000"/>
                <w:spacing w:val="0"/>
                <w:position w:val="0"/>
                <w:sz w:val="22"/>
                <w:u w:val="single"/>
                <w:shd w:fill="auto" w:val="clear"/>
              </w:rPr>
              <w:t xml:space="preserve">рік</w:t>
            </w:r>
          </w:p>
        </w:tc>
        <w:tc>
          <w:tcPr>
            <w:tcW w:w="1677"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доходи</w:t>
            </w:r>
          </w:p>
        </w:tc>
        <w:tc>
          <w:tcPr>
            <w:tcW w:w="1544"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витрати</w:t>
            </w:r>
          </w:p>
        </w:tc>
      </w:tr>
      <w:tr>
        <w:trPr>
          <w:trHeight w:val="1" w:hRule="atLeast"/>
          <w:jc w:val="left"/>
        </w:trPr>
        <w:tc>
          <w:tcPr>
            <w:tcW w:w="6242"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Доходи (витрати) від купівлі-продажу іноземної валюти</w:t>
            </w:r>
          </w:p>
        </w:tc>
        <w:tc>
          <w:tcPr>
            <w:tcW w:w="1677"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478</w:t>
            </w:r>
          </w:p>
        </w:tc>
        <w:tc>
          <w:tcPr>
            <w:tcW w:w="1544"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(819)</w:t>
            </w:r>
          </w:p>
        </w:tc>
      </w:tr>
      <w:tr>
        <w:trPr>
          <w:trHeight w:val="1" w:hRule="atLeast"/>
          <w:jc w:val="left"/>
        </w:trPr>
        <w:tc>
          <w:tcPr>
            <w:tcW w:w="6242" w:type="dxa"/>
            <w:tcBorders>
              <w:top w:val="single" w:color="000000" w:sz="4"/>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Доходи (витрати) від операційної оренди</w:t>
            </w:r>
          </w:p>
        </w:tc>
        <w:tc>
          <w:tcPr>
            <w:tcW w:w="1677" w:type="dxa"/>
            <w:tcBorders>
              <w:top w:val="single" w:color="000000" w:sz="4"/>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28</w:t>
            </w:r>
          </w:p>
        </w:tc>
        <w:tc>
          <w:tcPr>
            <w:tcW w:w="1544"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w:t>
            </w:r>
          </w:p>
        </w:tc>
      </w:tr>
      <w:tr>
        <w:trPr>
          <w:trHeight w:val="1" w:hRule="atLeast"/>
          <w:jc w:val="left"/>
        </w:trPr>
        <w:tc>
          <w:tcPr>
            <w:tcW w:w="624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Визнані штрафи, пені, неустойки</w:t>
            </w:r>
          </w:p>
        </w:tc>
        <w:tc>
          <w:tcPr>
            <w:tcW w:w="1677"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w:t>
            </w:r>
          </w:p>
        </w:tc>
        <w:tc>
          <w:tcPr>
            <w:tcW w:w="154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(1 116)</w:t>
            </w:r>
          </w:p>
        </w:tc>
      </w:tr>
      <w:tr>
        <w:trPr>
          <w:trHeight w:val="1" w:hRule="atLeast"/>
          <w:jc w:val="left"/>
        </w:trPr>
        <w:tc>
          <w:tcPr>
            <w:tcW w:w="624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Доходи (витрати) від реалізації інших оборотних активів</w:t>
            </w:r>
          </w:p>
        </w:tc>
        <w:tc>
          <w:tcPr>
            <w:tcW w:w="1677"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314</w:t>
            </w:r>
          </w:p>
        </w:tc>
        <w:tc>
          <w:tcPr>
            <w:tcW w:w="154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(183)</w:t>
            </w:r>
          </w:p>
        </w:tc>
      </w:tr>
      <w:tr>
        <w:trPr>
          <w:trHeight w:val="1" w:hRule="atLeast"/>
          <w:jc w:val="left"/>
        </w:trPr>
        <w:tc>
          <w:tcPr>
            <w:tcW w:w="624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Доходи (витрати) від операційної курсової різниці</w:t>
            </w:r>
          </w:p>
        </w:tc>
        <w:tc>
          <w:tcPr>
            <w:tcW w:w="1677"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4998</w:t>
            </w:r>
          </w:p>
        </w:tc>
        <w:tc>
          <w:tcPr>
            <w:tcW w:w="154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624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Доходи (витрати) від реалізації інших необоротних активів</w:t>
            </w:r>
          </w:p>
        </w:tc>
        <w:tc>
          <w:tcPr>
            <w:tcW w:w="1677"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526</w:t>
            </w:r>
          </w:p>
        </w:tc>
        <w:tc>
          <w:tcPr>
            <w:tcW w:w="154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(735)</w:t>
            </w:r>
          </w:p>
        </w:tc>
      </w:tr>
      <w:tr>
        <w:trPr>
          <w:trHeight w:val="1" w:hRule="atLeast"/>
          <w:jc w:val="left"/>
        </w:trPr>
        <w:tc>
          <w:tcPr>
            <w:tcW w:w="624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доходи/(витрати)</w:t>
            </w:r>
          </w:p>
        </w:tc>
        <w:tc>
          <w:tcPr>
            <w:tcW w:w="1677"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39</w:t>
            </w:r>
          </w:p>
        </w:tc>
        <w:tc>
          <w:tcPr>
            <w:tcW w:w="154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(11 985)</w:t>
            </w:r>
          </w:p>
        </w:tc>
      </w:tr>
      <w:tr>
        <w:trPr>
          <w:trHeight w:val="1" w:hRule="atLeast"/>
          <w:jc w:val="left"/>
        </w:trPr>
        <w:tc>
          <w:tcPr>
            <w:tcW w:w="6242"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1677"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6383</w:t>
            </w:r>
          </w:p>
        </w:tc>
        <w:tc>
          <w:tcPr>
            <w:tcW w:w="1544"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(14 838)</w:t>
            </w:r>
          </w:p>
        </w:tc>
      </w:tr>
    </w:tbl>
    <w:p>
      <w:pPr>
        <w:keepNext w:val="true"/>
        <w:spacing w:before="120" w:after="120" w:line="259"/>
        <w:ind w:right="0" w:left="66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12. </w:t>
      </w:r>
      <w:r>
        <w:rPr>
          <w:rFonts w:ascii="Times New Roman" w:hAnsi="Times New Roman" w:cs="Times New Roman" w:eastAsia="Times New Roman"/>
          <w:b/>
          <w:color w:val="000000"/>
          <w:spacing w:val="0"/>
          <w:position w:val="0"/>
          <w:sz w:val="24"/>
          <w:u w:val="single"/>
          <w:shd w:fill="auto" w:val="clear"/>
        </w:rPr>
        <w:t xml:space="preserve">ФІНАНСОВІ ДОХОДИ ТА ВИТРАТИ</w:t>
      </w:r>
    </w:p>
    <w:p>
      <w:pPr>
        <w:spacing w:before="120" w:after="120" w:line="259"/>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Фінансові доходи та витрати були представлені наступним чином:</w:t>
      </w:r>
    </w:p>
    <w:tbl>
      <w:tblPr/>
      <w:tblGrid>
        <w:gridCol w:w="4043"/>
        <w:gridCol w:w="2772"/>
        <w:gridCol w:w="2640"/>
      </w:tblGrid>
      <w:tr>
        <w:trPr>
          <w:trHeight w:val="1" w:hRule="atLeast"/>
          <w:jc w:val="left"/>
        </w:trPr>
        <w:tc>
          <w:tcPr>
            <w:tcW w:w="4043"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Фінансові доходи та витрати 2019 рік</w:t>
            </w:r>
          </w:p>
        </w:tc>
        <w:tc>
          <w:tcPr>
            <w:tcW w:w="2772"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Доходи</w:t>
            </w:r>
          </w:p>
        </w:tc>
        <w:tc>
          <w:tcPr>
            <w:tcW w:w="264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Витрати</w:t>
            </w:r>
          </w:p>
        </w:tc>
      </w:tr>
      <w:tr>
        <w:trPr>
          <w:trHeight w:val="1" w:hRule="atLeast"/>
          <w:jc w:val="left"/>
        </w:trPr>
        <w:tc>
          <w:tcPr>
            <w:tcW w:w="4043"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фінансові доходи (відсотки отримані)</w:t>
            </w:r>
          </w:p>
        </w:tc>
        <w:tc>
          <w:tcPr>
            <w:tcW w:w="2772"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101</w:t>
            </w:r>
          </w:p>
        </w:tc>
        <w:tc>
          <w:tcPr>
            <w:tcW w:w="264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043"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Нараховані відсотки на кредит нерезидента</w:t>
            </w:r>
          </w:p>
        </w:tc>
        <w:tc>
          <w:tcPr>
            <w:tcW w:w="2772"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64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(2 772)</w:t>
            </w:r>
          </w:p>
        </w:tc>
      </w:tr>
      <w:tr>
        <w:trPr>
          <w:trHeight w:val="1" w:hRule="atLeast"/>
          <w:jc w:val="left"/>
        </w:trPr>
        <w:tc>
          <w:tcPr>
            <w:tcW w:w="4043"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Нарахована амортизація дисконту заборгованості по кредиту</w:t>
            </w:r>
          </w:p>
        </w:tc>
        <w:tc>
          <w:tcPr>
            <w:tcW w:w="2772"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64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(14 905)</w:t>
            </w:r>
          </w:p>
        </w:tc>
      </w:tr>
      <w:tr>
        <w:trPr>
          <w:trHeight w:val="1" w:hRule="atLeast"/>
          <w:jc w:val="left"/>
        </w:trPr>
        <w:tc>
          <w:tcPr>
            <w:tcW w:w="4043"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2772"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101</w:t>
            </w:r>
          </w:p>
        </w:tc>
        <w:tc>
          <w:tcPr>
            <w:tcW w:w="264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(17 677)</w:t>
            </w:r>
          </w:p>
        </w:tc>
      </w:tr>
      <w:tr>
        <w:trPr>
          <w:trHeight w:val="1" w:hRule="atLeast"/>
          <w:jc w:val="left"/>
        </w:trPr>
        <w:tc>
          <w:tcPr>
            <w:tcW w:w="4043"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Фінансові доходи та витрати 2020 рік</w:t>
            </w:r>
          </w:p>
        </w:tc>
        <w:tc>
          <w:tcPr>
            <w:tcW w:w="2772"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Доходи</w:t>
            </w:r>
          </w:p>
        </w:tc>
        <w:tc>
          <w:tcPr>
            <w:tcW w:w="264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Витрати</w:t>
            </w:r>
          </w:p>
        </w:tc>
      </w:tr>
      <w:tr>
        <w:trPr>
          <w:trHeight w:val="1" w:hRule="atLeast"/>
          <w:jc w:val="left"/>
        </w:trPr>
        <w:tc>
          <w:tcPr>
            <w:tcW w:w="4043"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2"/>
                <w:u w:val="single"/>
                <w:shd w:fill="auto" w:val="clear"/>
              </w:rPr>
            </w:pPr>
            <w:r>
              <w:rPr>
                <w:rFonts w:ascii="Times New Roman" w:hAnsi="Times New Roman" w:cs="Times New Roman" w:eastAsia="Times New Roman"/>
                <w:color w:val="000000"/>
                <w:spacing w:val="0"/>
                <w:position w:val="0"/>
                <w:sz w:val="22"/>
                <w:u w:val="single"/>
                <w:shd w:fill="auto" w:val="clear"/>
              </w:rPr>
              <w:t xml:space="preserve">Доходи/витрати від дисконтування</w:t>
            </w:r>
          </w:p>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довгострокової заборгованості</w:t>
            </w:r>
          </w:p>
        </w:tc>
        <w:tc>
          <w:tcPr>
            <w:tcW w:w="2772"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14 477</w:t>
            </w:r>
          </w:p>
        </w:tc>
        <w:tc>
          <w:tcPr>
            <w:tcW w:w="264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043"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Нараховані відсотки на кредит нерезидента</w:t>
            </w:r>
          </w:p>
        </w:tc>
        <w:tc>
          <w:tcPr>
            <w:tcW w:w="2772"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64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(3 910)</w:t>
            </w:r>
          </w:p>
        </w:tc>
      </w:tr>
      <w:tr>
        <w:trPr>
          <w:trHeight w:val="1" w:hRule="atLeast"/>
          <w:jc w:val="left"/>
        </w:trPr>
        <w:tc>
          <w:tcPr>
            <w:tcW w:w="4043"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Нарахована амортизація дисконту заборгованості по кредиту</w:t>
            </w:r>
          </w:p>
        </w:tc>
        <w:tc>
          <w:tcPr>
            <w:tcW w:w="2772"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64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(16 201)</w:t>
            </w:r>
          </w:p>
        </w:tc>
      </w:tr>
      <w:tr>
        <w:trPr>
          <w:trHeight w:val="1" w:hRule="atLeast"/>
          <w:jc w:val="left"/>
        </w:trPr>
        <w:tc>
          <w:tcPr>
            <w:tcW w:w="4043"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фінансові доходи (відсотки отримані)</w:t>
            </w:r>
          </w:p>
        </w:tc>
        <w:tc>
          <w:tcPr>
            <w:tcW w:w="2772"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23</w:t>
            </w:r>
          </w:p>
        </w:tc>
        <w:tc>
          <w:tcPr>
            <w:tcW w:w="264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043"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2772"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14 500</w:t>
            </w:r>
          </w:p>
        </w:tc>
        <w:tc>
          <w:tcPr>
            <w:tcW w:w="264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(20 111)</w:t>
            </w:r>
          </w:p>
        </w:tc>
      </w:tr>
    </w:tbl>
    <w:p>
      <w:pPr>
        <w:keepNext w:val="true"/>
        <w:tabs>
          <w:tab w:val="left" w:pos="0" w:leader="none"/>
        </w:tabs>
        <w:spacing w:before="120" w:after="120" w:line="240"/>
        <w:ind w:right="0" w:left="675" w:firstLine="0"/>
        <w:jc w:val="left"/>
        <w:rPr>
          <w:rFonts w:ascii="Times New Roman" w:hAnsi="Times New Roman" w:cs="Times New Roman" w:eastAsia="Times New Roman"/>
          <w:color w:val="000000"/>
          <w:spacing w:val="0"/>
          <w:position w:val="0"/>
          <w:sz w:val="24"/>
          <w:u w:val="single"/>
          <w:shd w:fill="auto" w:val="clear"/>
        </w:rPr>
      </w:pPr>
    </w:p>
    <w:p>
      <w:pPr>
        <w:keepNext w:val="true"/>
        <w:tabs>
          <w:tab w:val="left" w:pos="0" w:leader="none"/>
        </w:tabs>
        <w:spacing w:before="120" w:after="120" w:line="240"/>
        <w:ind w:right="0" w:left="675"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13. </w:t>
      </w:r>
      <w:r>
        <w:rPr>
          <w:rFonts w:ascii="Times New Roman" w:hAnsi="Times New Roman" w:cs="Times New Roman" w:eastAsia="Times New Roman"/>
          <w:b/>
          <w:color w:val="000000"/>
          <w:spacing w:val="0"/>
          <w:position w:val="0"/>
          <w:sz w:val="24"/>
          <w:u w:val="single"/>
          <w:shd w:fill="auto" w:val="clear"/>
        </w:rPr>
        <w:t xml:space="preserve">ІНШІ ДОХОДИ ТА ВИТРАТИ</w:t>
      </w:r>
    </w:p>
    <w:p>
      <w:pPr>
        <w:spacing w:before="120" w:after="120" w:line="259"/>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Інші доходи та витрати були представлені наступним чином:</w:t>
      </w:r>
    </w:p>
    <w:tbl>
      <w:tblPr/>
      <w:tblGrid>
        <w:gridCol w:w="6233"/>
        <w:gridCol w:w="1683"/>
        <w:gridCol w:w="1547"/>
      </w:tblGrid>
      <w:tr>
        <w:trPr>
          <w:trHeight w:val="1" w:hRule="atLeast"/>
          <w:jc w:val="left"/>
        </w:trPr>
        <w:tc>
          <w:tcPr>
            <w:tcW w:w="6233" w:type="dxa"/>
            <w:tcBorders>
              <w:top w:val="single" w:color="000000" w:sz="4"/>
              <w:left w:val="single" w:color="000000" w:sz="4"/>
              <w:bottom w:val="single" w:color="000000" w:sz="4"/>
              <w:right w:val="single" w:color="000000" w:sz="0"/>
            </w:tcBorders>
            <w:shd w:color="000000" w:fill="f2f2f2"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Інші доходи та витрати</w:t>
            </w:r>
          </w:p>
        </w:tc>
        <w:tc>
          <w:tcPr>
            <w:tcW w:w="3230" w:type="dxa"/>
            <w:gridSpan w:val="2"/>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2019 </w:t>
            </w:r>
            <w:r>
              <w:rPr>
                <w:rFonts w:ascii="Times New Roman" w:hAnsi="Times New Roman" w:cs="Times New Roman" w:eastAsia="Times New Roman"/>
                <w:b/>
                <w:color w:val="000000"/>
                <w:spacing w:val="0"/>
                <w:position w:val="0"/>
                <w:sz w:val="22"/>
                <w:u w:val="single"/>
                <w:shd w:fill="auto" w:val="clear"/>
              </w:rPr>
              <w:t xml:space="preserve">рік</w:t>
            </w:r>
          </w:p>
        </w:tc>
      </w:tr>
      <w:tr>
        <w:trPr>
          <w:trHeight w:val="1" w:hRule="atLeast"/>
          <w:jc w:val="left"/>
        </w:trPr>
        <w:tc>
          <w:tcPr>
            <w:tcW w:w="6233"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rFonts w:ascii="Calibri" w:hAnsi="Calibri" w:cs="Calibri" w:eastAsia="Calibri"/>
                <w:color w:val="auto"/>
                <w:spacing w:val="0"/>
                <w:position w:val="0"/>
                <w:sz w:val="22"/>
                <w:shd w:fill="auto" w:val="clear"/>
              </w:rPr>
            </w:pPr>
          </w:p>
        </w:tc>
        <w:tc>
          <w:tcPr>
            <w:tcW w:w="1683"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доходи</w:t>
            </w:r>
          </w:p>
        </w:tc>
        <w:tc>
          <w:tcPr>
            <w:tcW w:w="1547"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витрати</w:t>
            </w:r>
          </w:p>
        </w:tc>
      </w:tr>
      <w:tr>
        <w:trPr>
          <w:trHeight w:val="1" w:hRule="atLeast"/>
          <w:jc w:val="left"/>
        </w:trPr>
        <w:tc>
          <w:tcPr>
            <w:tcW w:w="6233"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доходи (витрати)</w:t>
            </w:r>
          </w:p>
        </w:tc>
        <w:tc>
          <w:tcPr>
            <w:tcW w:w="1683"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1 133</w:t>
            </w:r>
          </w:p>
        </w:tc>
        <w:tc>
          <w:tcPr>
            <w:tcW w:w="1547"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(769)</w:t>
            </w:r>
          </w:p>
        </w:tc>
      </w:tr>
      <w:tr>
        <w:trPr>
          <w:trHeight w:val="1" w:hRule="atLeast"/>
          <w:jc w:val="left"/>
        </w:trPr>
        <w:tc>
          <w:tcPr>
            <w:tcW w:w="6233"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1683"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1 133</w:t>
            </w:r>
          </w:p>
        </w:tc>
        <w:tc>
          <w:tcPr>
            <w:tcW w:w="1547"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(769)</w:t>
            </w:r>
          </w:p>
        </w:tc>
      </w:tr>
    </w:tbl>
    <w:p>
      <w:pPr>
        <w:spacing w:before="120" w:after="120" w:line="259"/>
        <w:ind w:right="0" w:left="0" w:firstLine="0"/>
        <w:jc w:val="left"/>
        <w:rPr>
          <w:rFonts w:ascii="Times New Roman" w:hAnsi="Times New Roman" w:cs="Times New Roman" w:eastAsia="Times New Roman"/>
          <w:color w:val="000000"/>
          <w:spacing w:val="0"/>
          <w:position w:val="0"/>
          <w:sz w:val="24"/>
          <w:u w:val="single"/>
          <w:shd w:fill="auto" w:val="clear"/>
        </w:rPr>
      </w:pPr>
    </w:p>
    <w:tbl>
      <w:tblPr/>
      <w:tblGrid>
        <w:gridCol w:w="6239"/>
        <w:gridCol w:w="1680"/>
        <w:gridCol w:w="1544"/>
      </w:tblGrid>
      <w:tr>
        <w:trPr>
          <w:trHeight w:val="1" w:hRule="atLeast"/>
          <w:jc w:val="left"/>
        </w:trPr>
        <w:tc>
          <w:tcPr>
            <w:tcW w:w="6239" w:type="dxa"/>
            <w:tcBorders>
              <w:top w:val="single" w:color="000000" w:sz="4"/>
              <w:left w:val="single" w:color="000000" w:sz="4"/>
              <w:bottom w:val="single" w:color="000000" w:sz="4"/>
              <w:right w:val="single" w:color="000000" w:sz="0"/>
            </w:tcBorders>
            <w:shd w:color="000000" w:fill="f2f2f2"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Інші доходи та витрати</w:t>
            </w:r>
          </w:p>
        </w:tc>
        <w:tc>
          <w:tcPr>
            <w:tcW w:w="3224" w:type="dxa"/>
            <w:gridSpan w:val="2"/>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2020 </w:t>
            </w:r>
            <w:r>
              <w:rPr>
                <w:rFonts w:ascii="Times New Roman" w:hAnsi="Times New Roman" w:cs="Times New Roman" w:eastAsia="Times New Roman"/>
                <w:b/>
                <w:color w:val="000000"/>
                <w:spacing w:val="0"/>
                <w:position w:val="0"/>
                <w:sz w:val="22"/>
                <w:u w:val="single"/>
                <w:shd w:fill="auto" w:val="clear"/>
              </w:rPr>
              <w:t xml:space="preserve">рік</w:t>
            </w:r>
          </w:p>
        </w:tc>
      </w:tr>
      <w:tr>
        <w:trPr>
          <w:trHeight w:val="1" w:hRule="atLeast"/>
          <w:jc w:val="left"/>
        </w:trPr>
        <w:tc>
          <w:tcPr>
            <w:tcW w:w="6239" w:type="dxa"/>
            <w:tcBorders>
              <w:top w:val="single" w:color="000000" w:sz="0"/>
              <w:left w:val="single" w:color="000000" w:sz="4"/>
              <w:bottom w:val="single" w:color="000000" w:sz="4"/>
              <w:right w:val="single" w:color="000000" w:sz="0"/>
            </w:tcBorders>
            <w:shd w:color="000000" w:fill="f2f2f2" w:val="clear"/>
            <w:tcMar>
              <w:left w:w="108" w:type="dxa"/>
              <w:right w:w="108" w:type="dxa"/>
            </w:tcMar>
            <w:vAlign w:val="top"/>
          </w:tcPr>
          <w:p>
            <w:pPr>
              <w:spacing w:before="120" w:after="120" w:line="259"/>
              <w:ind w:right="0" w:left="0" w:firstLine="0"/>
              <w:jc w:val="left"/>
              <w:rPr>
                <w:rFonts w:ascii="Calibri" w:hAnsi="Calibri" w:cs="Calibri" w:eastAsia="Calibri"/>
                <w:color w:val="auto"/>
                <w:spacing w:val="0"/>
                <w:position w:val="0"/>
                <w:sz w:val="22"/>
                <w:shd w:fill="auto" w:val="clear"/>
              </w:rPr>
            </w:pPr>
          </w:p>
        </w:tc>
        <w:tc>
          <w:tcPr>
            <w:tcW w:w="1680" w:type="dxa"/>
            <w:tcBorders>
              <w:top w:val="single" w:color="000000" w:sz="0"/>
              <w:left w:val="single" w:color="000000" w:sz="4"/>
              <w:bottom w:val="single" w:color="000000" w:sz="4"/>
              <w:right w:val="single" w:color="000000" w:sz="0"/>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доходи</w:t>
            </w:r>
          </w:p>
        </w:tc>
        <w:tc>
          <w:tcPr>
            <w:tcW w:w="1544" w:type="dxa"/>
            <w:tcBorders>
              <w:top w:val="single" w:color="000000" w:sz="0"/>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витрати</w:t>
            </w:r>
          </w:p>
        </w:tc>
      </w:tr>
      <w:tr>
        <w:trPr>
          <w:trHeight w:val="1" w:hRule="atLeast"/>
          <w:jc w:val="left"/>
        </w:trPr>
        <w:tc>
          <w:tcPr>
            <w:tcW w:w="6239" w:type="dxa"/>
            <w:tcBorders>
              <w:top w:val="single" w:color="000000" w:sz="0"/>
              <w:left w:val="single" w:color="000000" w:sz="4"/>
              <w:bottom w:val="single" w:color="000000" w:sz="0"/>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доходи (витрати)</w:t>
            </w:r>
          </w:p>
        </w:tc>
        <w:tc>
          <w:tcPr>
            <w:tcW w:w="1680" w:type="dxa"/>
            <w:tcBorders>
              <w:top w:val="single" w:color="000000" w:sz="0"/>
              <w:left w:val="single" w:color="000000" w:sz="4"/>
              <w:bottom w:val="single" w:color="000000" w:sz="0"/>
              <w:right w:val="single" w:color="000000" w:sz="0"/>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169</w:t>
            </w:r>
          </w:p>
        </w:tc>
        <w:tc>
          <w:tcPr>
            <w:tcW w:w="1544" w:type="dxa"/>
            <w:tcBorders>
              <w:top w:val="single" w:color="000000" w:sz="0"/>
              <w:left w:val="single" w:color="000000" w:sz="4"/>
              <w:bottom w:val="single" w:color="000000" w:sz="0"/>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shd w:fill="auto" w:val="clear"/>
              </w:rPr>
            </w:pPr>
            <w:r>
              <w:rPr>
                <w:rFonts w:ascii="Times New Roman" w:hAnsi="Times New Roman" w:cs="Times New Roman" w:eastAsia="Times New Roman"/>
                <w:color w:val="000000"/>
                <w:spacing w:val="0"/>
                <w:position w:val="0"/>
                <w:sz w:val="22"/>
                <w:u w:val="single"/>
                <w:shd w:fill="auto" w:val="clear"/>
              </w:rPr>
              <w:t xml:space="preserve">(74 999)</w:t>
            </w:r>
          </w:p>
        </w:tc>
      </w:tr>
      <w:tr>
        <w:trPr>
          <w:trHeight w:val="1" w:hRule="atLeast"/>
          <w:jc w:val="left"/>
        </w:trPr>
        <w:tc>
          <w:tcPr>
            <w:tcW w:w="6239"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1680"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169</w:t>
            </w:r>
          </w:p>
        </w:tc>
        <w:tc>
          <w:tcPr>
            <w:tcW w:w="1544"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shd w:fill="auto" w:val="clear"/>
              </w:rPr>
            </w:pPr>
            <w:r>
              <w:rPr>
                <w:rFonts w:ascii="Times New Roman" w:hAnsi="Times New Roman" w:cs="Times New Roman" w:eastAsia="Times New Roman"/>
                <w:b/>
                <w:color w:val="000000"/>
                <w:spacing w:val="0"/>
                <w:position w:val="0"/>
                <w:sz w:val="22"/>
                <w:u w:val="single"/>
                <w:shd w:fill="auto" w:val="clear"/>
              </w:rPr>
              <w:t xml:space="preserve">(74 999)</w:t>
            </w:r>
          </w:p>
        </w:tc>
      </w:tr>
    </w:tbl>
    <w:p>
      <w:pPr>
        <w:keepNext w:val="true"/>
        <w:tabs>
          <w:tab w:val="left" w:pos="0" w:leader="none"/>
        </w:tabs>
        <w:spacing w:before="120" w:after="120" w:line="240"/>
        <w:ind w:right="0" w:left="0" w:firstLine="0"/>
        <w:jc w:val="left"/>
        <w:rPr>
          <w:rFonts w:ascii="Times New Roman" w:hAnsi="Times New Roman" w:cs="Times New Roman" w:eastAsia="Times New Roman"/>
          <w:color w:val="000000"/>
          <w:spacing w:val="0"/>
          <w:position w:val="0"/>
          <w:sz w:val="24"/>
          <w:u w:val="single"/>
          <w:shd w:fill="auto" w:val="clear"/>
        </w:rPr>
      </w:pPr>
    </w:p>
    <w:p>
      <w:pPr>
        <w:keepNext w:val="true"/>
        <w:tabs>
          <w:tab w:val="left" w:pos="0" w:leader="none"/>
        </w:tabs>
        <w:spacing w:before="120" w:after="120" w:line="240"/>
        <w:ind w:right="0" w:left="675"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14. </w:t>
      </w:r>
      <w:r>
        <w:rPr>
          <w:rFonts w:ascii="Times New Roman" w:hAnsi="Times New Roman" w:cs="Times New Roman" w:eastAsia="Times New Roman"/>
          <w:b/>
          <w:color w:val="000000"/>
          <w:spacing w:val="0"/>
          <w:position w:val="0"/>
          <w:sz w:val="24"/>
          <w:u w:val="single"/>
          <w:shd w:fill="auto" w:val="clear"/>
        </w:rPr>
        <w:t xml:space="preserve">ПОДАТОК НА ПРИБУТОК</w:t>
      </w:r>
    </w:p>
    <w:p>
      <w:pPr>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Основні компоненти (відшкодування) / витрат з податку на прибуток за 2019 та 2020 роки були представлені таким чином: </w:t>
      </w:r>
    </w:p>
    <w:p>
      <w:pPr>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r>
    </w:p>
    <w:tbl>
      <w:tblPr/>
      <w:tblGrid>
        <w:gridCol w:w="5981"/>
        <w:gridCol w:w="1652"/>
        <w:gridCol w:w="1776"/>
      </w:tblGrid>
      <w:tr>
        <w:trPr>
          <w:trHeight w:val="1" w:hRule="atLeast"/>
          <w:jc w:val="left"/>
        </w:trPr>
        <w:tc>
          <w:tcPr>
            <w:tcW w:w="5981"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У звіті про сукупний дохід:</w:t>
            </w:r>
          </w:p>
        </w:tc>
        <w:tc>
          <w:tcPr>
            <w:tcW w:w="1652"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2019 </w:t>
            </w:r>
            <w:r>
              <w:rPr>
                <w:rFonts w:ascii="Times New Roman" w:hAnsi="Times New Roman" w:cs="Times New Roman" w:eastAsia="Times New Roman"/>
                <w:b/>
                <w:color w:val="000000"/>
                <w:spacing w:val="0"/>
                <w:position w:val="0"/>
                <w:sz w:val="22"/>
                <w:u w:val="single"/>
                <w:shd w:fill="auto" w:val="clear"/>
              </w:rPr>
              <w:t xml:space="preserve">рік</w:t>
            </w:r>
          </w:p>
        </w:tc>
        <w:tc>
          <w:tcPr>
            <w:tcW w:w="1776" w:type="dxa"/>
            <w:tcBorders>
              <w:top w:val="single" w:color="000000" w:sz="4"/>
              <w:left w:val="single" w:color="000000" w:sz="4"/>
              <w:bottom w:val="single" w:color="000000" w:sz="4"/>
              <w:right w:val="single" w:color="000000" w:sz="4"/>
            </w:tcBorders>
            <w:shd w:color="000000" w:fill="f2f2f2" w:val="clear"/>
            <w:tcMar>
              <w:left w:w="54" w:type="dxa"/>
              <w:right w:w="54"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2020 </w:t>
            </w:r>
            <w:r>
              <w:rPr>
                <w:rFonts w:ascii="Times New Roman" w:hAnsi="Times New Roman" w:cs="Times New Roman" w:eastAsia="Times New Roman"/>
                <w:b/>
                <w:color w:val="000000"/>
                <w:spacing w:val="0"/>
                <w:position w:val="0"/>
                <w:sz w:val="22"/>
                <w:u w:val="single"/>
                <w:shd w:fill="auto" w:val="clear"/>
              </w:rPr>
              <w:t xml:space="preserve">рік</w:t>
            </w:r>
          </w:p>
        </w:tc>
      </w:tr>
      <w:tr>
        <w:trPr>
          <w:trHeight w:val="1" w:hRule="atLeast"/>
          <w:jc w:val="left"/>
        </w:trPr>
        <w:tc>
          <w:tcPr>
            <w:tcW w:w="598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Поточний податок на прибуток</w:t>
            </w:r>
          </w:p>
        </w:tc>
        <w:tc>
          <w:tcPr>
            <w:tcW w:w="1652"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(9 339)</w:t>
            </w:r>
          </w:p>
        </w:tc>
        <w:tc>
          <w:tcPr>
            <w:tcW w:w="177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w:t>
            </w:r>
          </w:p>
        </w:tc>
      </w:tr>
      <w:tr>
        <w:trPr>
          <w:trHeight w:val="1" w:hRule="atLeast"/>
          <w:jc w:val="left"/>
        </w:trPr>
        <w:tc>
          <w:tcPr>
            <w:tcW w:w="5981"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Відстрочені податки</w:t>
            </w:r>
          </w:p>
        </w:tc>
        <w:tc>
          <w:tcPr>
            <w:tcW w:w="1652"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1 718</w:t>
            </w:r>
          </w:p>
        </w:tc>
        <w:tc>
          <w:tcPr>
            <w:tcW w:w="177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13 874</w:t>
            </w:r>
          </w:p>
        </w:tc>
      </w:tr>
      <w:tr>
        <w:trPr>
          <w:trHeight w:val="1" w:hRule="atLeast"/>
          <w:jc w:val="left"/>
        </w:trPr>
        <w:tc>
          <w:tcPr>
            <w:tcW w:w="5981"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 витрати з податку на прибуток</w:t>
            </w:r>
          </w:p>
        </w:tc>
        <w:tc>
          <w:tcPr>
            <w:tcW w:w="1652" w:type="dxa"/>
            <w:tcBorders>
              <w:top w:val="single" w:color="000000" w:sz="4"/>
              <w:left w:val="single" w:color="000000" w:sz="4"/>
              <w:bottom w:val="single" w:color="000000" w:sz="4"/>
              <w:right w:val="single" w:color="000000" w:sz="4"/>
            </w:tcBorders>
            <w:shd w:color="000000" w:fill="ffffff"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(7 621)</w:t>
            </w:r>
          </w:p>
        </w:tc>
        <w:tc>
          <w:tcPr>
            <w:tcW w:w="1776" w:type="dxa"/>
            <w:tcBorders>
              <w:top w:val="single" w:color="000000" w:sz="4"/>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13 874</w:t>
            </w:r>
          </w:p>
        </w:tc>
      </w:tr>
    </w:tbl>
    <w:p>
      <w:pPr>
        <w:keepNext w:val="true"/>
        <w:spacing w:before="120" w:after="120" w:line="259"/>
        <w:ind w:right="0" w:left="0" w:firstLine="0"/>
        <w:jc w:val="left"/>
        <w:rPr>
          <w:rFonts w:ascii="Times New Roman" w:hAnsi="Times New Roman" w:cs="Times New Roman" w:eastAsia="Times New Roman"/>
          <w:color w:val="000000"/>
          <w:spacing w:val="0"/>
          <w:position w:val="0"/>
          <w:sz w:val="24"/>
          <w:u w:val="single"/>
          <w:shd w:fill="auto" w:val="clear"/>
        </w:rPr>
      </w:pPr>
    </w:p>
    <w:p>
      <w:pPr>
        <w:keepNext w:val="true"/>
        <w:spacing w:before="120" w:after="120" w:line="259"/>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b/>
          <w:color w:val="000000"/>
          <w:spacing w:val="0"/>
          <w:position w:val="0"/>
          <w:sz w:val="24"/>
          <w:u w:val="single"/>
          <w:shd w:fill="auto" w:val="clear"/>
        </w:rPr>
        <w:t xml:space="preserve">15. </w:t>
      </w:r>
      <w:r>
        <w:rPr>
          <w:rFonts w:ascii="Times New Roman" w:hAnsi="Times New Roman" w:cs="Times New Roman" w:eastAsia="Times New Roman"/>
          <w:b/>
          <w:color w:val="000000"/>
          <w:spacing w:val="0"/>
          <w:position w:val="0"/>
          <w:sz w:val="24"/>
          <w:u w:val="single"/>
          <w:shd w:fill="auto" w:val="clear"/>
        </w:rPr>
        <w:t xml:space="preserve">ОСНОВНІ ЗАСОБИ</w:t>
      </w:r>
    </w:p>
    <w:p>
      <w:pPr>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Станом на 31 грудня 2019 року основні засоби Товариства були представлені наступним чином:</w:t>
      </w:r>
    </w:p>
    <w:tbl>
      <w:tblPr>
        <w:tblInd w:w="55" w:type="dxa"/>
      </w:tblPr>
      <w:tblGrid>
        <w:gridCol w:w="1759"/>
        <w:gridCol w:w="1310"/>
        <w:gridCol w:w="1176"/>
        <w:gridCol w:w="1272"/>
        <w:gridCol w:w="1304"/>
        <w:gridCol w:w="1190"/>
        <w:gridCol w:w="1397"/>
      </w:tblGrid>
      <w:tr>
        <w:trPr>
          <w:trHeight w:val="1" w:hRule="atLeast"/>
          <w:jc w:val="left"/>
        </w:trPr>
        <w:tc>
          <w:tcPr>
            <w:tcW w:w="1759"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0"/>
                <w:u w:val="single"/>
                <w:shd w:fill="auto" w:val="clear"/>
              </w:rPr>
              <w:t xml:space="preserve">Показники</w:t>
            </w:r>
          </w:p>
        </w:tc>
        <w:tc>
          <w:tcPr>
            <w:tcW w:w="1310"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0"/>
                <w:u w:val="single"/>
                <w:shd w:fill="auto" w:val="clear"/>
              </w:rPr>
              <w:t xml:space="preserve">Будинки, споруди та передавальні пристрої</w:t>
            </w:r>
          </w:p>
        </w:tc>
        <w:tc>
          <w:tcPr>
            <w:tcW w:w="1176"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Машини та обладнання</w:t>
            </w:r>
          </w:p>
        </w:tc>
        <w:tc>
          <w:tcPr>
            <w:tcW w:w="1272"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Транспортні засоби</w:t>
            </w:r>
          </w:p>
        </w:tc>
        <w:tc>
          <w:tcPr>
            <w:tcW w:w="1304"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Інструменти, прилади, інвентар</w:t>
            </w:r>
          </w:p>
        </w:tc>
        <w:tc>
          <w:tcPr>
            <w:tcW w:w="1190"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0"/>
                <w:u w:val="single"/>
                <w:shd w:fill="auto" w:val="clear"/>
              </w:rPr>
              <w:t xml:space="preserve">Інші основні засоби</w:t>
            </w:r>
          </w:p>
        </w:tc>
        <w:tc>
          <w:tcPr>
            <w:tcW w:w="1397" w:type="dxa"/>
            <w:tcBorders>
              <w:top w:val="single" w:color="000000" w:sz="4"/>
              <w:left w:val="single" w:color="000000" w:sz="4"/>
              <w:bottom w:val="single" w:color="000000" w:sz="4"/>
              <w:right w:val="single" w:color="000000" w:sz="4"/>
            </w:tcBorders>
            <w:shd w:color="000000" w:fill="f2f2f2" w:val="clear"/>
            <w:tcMar>
              <w:left w:w="54" w:type="dxa"/>
              <w:right w:w="54"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Разом</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0"/>
                <w:u w:val="single"/>
                <w:shd w:fill="auto" w:val="clear"/>
              </w:rPr>
              <w:t xml:space="preserve">Первісна вартість станом на початок звітного періоду</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95 518</w:t>
            </w: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304 771</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12 694</w:t>
            </w: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7 116</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180</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420 279</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Придбано основних засобів</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36 926</w:t>
            </w: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45 866</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1 521</w:t>
            </w: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157</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56</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84 526</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Вибуло</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w:t>
            </w: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(9 234)</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(93)</w:t>
            </w: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(9 336)</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0"/>
                <w:u w:val="single"/>
                <w:shd w:fill="auto" w:val="clear"/>
              </w:rPr>
              <w:t xml:space="preserve">Первісна вартість станом на кінець звітного періоду</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132 440</w:t>
            </w: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341 403</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14 122</w:t>
            </w: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7 268</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236</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495 469</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0"/>
                <w:u w:val="single"/>
                <w:shd w:fill="auto" w:val="clear"/>
              </w:rPr>
              <w:t xml:space="preserve">Накопичена амортизація станом на початок звітного періоду</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41 824</w:t>
            </w: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50 713</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7 804</w:t>
            </w: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3 001</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103</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103 445</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Амортизаційні нарахування за звітний період</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rFonts w:ascii="Times New Roman" w:hAnsi="Times New Roman" w:cs="Times New Roman" w:eastAsia="Times New Roman"/>
                <w:color w:val="000000"/>
                <w:spacing w:val="0"/>
                <w:position w:val="0"/>
                <w:sz w:val="22"/>
                <w:u w:val="single"/>
                <w:shd w:fill="auto" w:val="clear"/>
              </w:rPr>
            </w:pPr>
            <w:r>
              <w:rPr>
                <w:rFonts w:ascii="Times New Roman" w:hAnsi="Times New Roman" w:cs="Times New Roman" w:eastAsia="Times New Roman"/>
                <w:color w:val="000000"/>
                <w:spacing w:val="0"/>
                <w:position w:val="0"/>
                <w:sz w:val="22"/>
                <w:u w:val="single"/>
                <w:shd w:fill="auto" w:val="clear"/>
              </w:rPr>
              <w:t xml:space="preserve">5 628</w:t>
            </w:r>
          </w:p>
          <w:p>
            <w:pPr>
              <w:spacing w:before="120" w:after="120" w:line="259"/>
              <w:ind w:right="0" w:left="0" w:firstLine="0"/>
              <w:jc w:val="center"/>
              <w:rPr>
                <w:spacing w:val="0"/>
                <w:position w:val="0"/>
                <w:sz w:val="22"/>
              </w:rPr>
            </w:pP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4 245</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407</w:t>
            </w: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608</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18</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10 906</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Вибуло</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w:t>
            </w: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805</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89</w:t>
            </w: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(899)</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0"/>
                <w:u w:val="single"/>
                <w:shd w:fill="auto" w:val="clear"/>
              </w:rPr>
              <w:t xml:space="preserve">Амортизація станом на кінець звітного періоду</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47 452</w:t>
            </w: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54 153</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8 122</w:t>
            </w: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3 604</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121</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113 452</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0"/>
                <w:u w:val="single"/>
                <w:shd w:fill="auto" w:val="clear"/>
              </w:rPr>
              <w:t xml:space="preserve">Балансова вартість станом на кінець звітного періоду</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84 988</w:t>
            </w: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287 250</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6 000 </w:t>
            </w: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3 664</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115</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382 017</w:t>
            </w:r>
          </w:p>
        </w:tc>
      </w:tr>
    </w:tbl>
    <w:p>
      <w:pPr>
        <w:spacing w:before="120" w:after="120" w:line="259"/>
        <w:ind w:right="0" w:left="3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p>
    <w:p>
      <w:pPr>
        <w:spacing w:before="120" w:after="120" w:line="259"/>
        <w:ind w:right="0" w:left="30" w:firstLine="69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Станом на 31 грудня 2019 року вартість основних засобів, призначених до продажі, становить 2 173 тис. грн.</w:t>
      </w:r>
    </w:p>
    <w:p>
      <w:pPr>
        <w:spacing w:before="120" w:after="120" w:line="259"/>
        <w:ind w:right="0" w:left="0" w:firstLine="72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Станом на 31 грудня 2020 року основні засоби Товариства були представлені наступним чином:</w:t>
      </w:r>
    </w:p>
    <w:tbl>
      <w:tblPr>
        <w:tblInd w:w="55" w:type="dxa"/>
      </w:tblPr>
      <w:tblGrid>
        <w:gridCol w:w="1759"/>
        <w:gridCol w:w="1310"/>
        <w:gridCol w:w="1176"/>
        <w:gridCol w:w="1272"/>
        <w:gridCol w:w="1304"/>
        <w:gridCol w:w="1190"/>
        <w:gridCol w:w="1397"/>
      </w:tblGrid>
      <w:tr>
        <w:trPr>
          <w:trHeight w:val="1" w:hRule="atLeast"/>
          <w:jc w:val="left"/>
        </w:trPr>
        <w:tc>
          <w:tcPr>
            <w:tcW w:w="1759"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40"/>
              <w:ind w:right="0" w:left="0" w:firstLine="0"/>
              <w:jc w:val="left"/>
              <w:rPr>
                <w:spacing w:val="0"/>
                <w:position w:val="0"/>
              </w:rPr>
            </w:pPr>
            <w:r>
              <w:rPr>
                <w:rFonts w:ascii="Times New Roman" w:hAnsi="Times New Roman" w:cs="Times New Roman" w:eastAsia="Times New Roman"/>
                <w:b/>
                <w:color w:val="000000"/>
                <w:spacing w:val="0"/>
                <w:position w:val="0"/>
                <w:sz w:val="20"/>
                <w:u w:val="single"/>
                <w:shd w:fill="auto" w:val="clear"/>
              </w:rPr>
              <w:t xml:space="preserve">Показники</w:t>
            </w:r>
          </w:p>
        </w:tc>
        <w:tc>
          <w:tcPr>
            <w:tcW w:w="1310"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0"/>
                <w:u w:val="single"/>
                <w:shd w:fill="auto" w:val="clear"/>
              </w:rPr>
              <w:t xml:space="preserve">Будинки, споруди та передавальні пристрої</w:t>
            </w:r>
          </w:p>
        </w:tc>
        <w:tc>
          <w:tcPr>
            <w:tcW w:w="1176"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Машини та обладнання</w:t>
            </w:r>
          </w:p>
        </w:tc>
        <w:tc>
          <w:tcPr>
            <w:tcW w:w="1272"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Транспортні засоби</w:t>
            </w:r>
          </w:p>
        </w:tc>
        <w:tc>
          <w:tcPr>
            <w:tcW w:w="1304"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Інструменти, прилади, інвентар</w:t>
            </w:r>
          </w:p>
        </w:tc>
        <w:tc>
          <w:tcPr>
            <w:tcW w:w="1190"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40"/>
              <w:ind w:right="0" w:left="0" w:firstLine="0"/>
              <w:jc w:val="left"/>
              <w:rPr>
                <w:spacing w:val="0"/>
                <w:position w:val="0"/>
              </w:rPr>
            </w:pPr>
            <w:r>
              <w:rPr>
                <w:rFonts w:ascii="Times New Roman" w:hAnsi="Times New Roman" w:cs="Times New Roman" w:eastAsia="Times New Roman"/>
                <w:b/>
                <w:color w:val="000000"/>
                <w:spacing w:val="0"/>
                <w:position w:val="0"/>
                <w:sz w:val="20"/>
                <w:u w:val="single"/>
                <w:shd w:fill="auto" w:val="clear"/>
              </w:rPr>
              <w:t xml:space="preserve">Інші основні засоби</w:t>
            </w:r>
          </w:p>
        </w:tc>
        <w:tc>
          <w:tcPr>
            <w:tcW w:w="1397" w:type="dxa"/>
            <w:tcBorders>
              <w:top w:val="single" w:color="000000" w:sz="4"/>
              <w:left w:val="single" w:color="000000" w:sz="4"/>
              <w:bottom w:val="single" w:color="000000" w:sz="4"/>
              <w:right w:val="single" w:color="000000" w:sz="4"/>
            </w:tcBorders>
            <w:shd w:color="000000" w:fill="f2f2f2" w:val="clear"/>
            <w:tcMar>
              <w:left w:w="54" w:type="dxa"/>
              <w:right w:w="54"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b/>
                <w:color w:val="000000"/>
                <w:spacing w:val="0"/>
                <w:position w:val="0"/>
                <w:sz w:val="20"/>
                <w:u w:val="single"/>
                <w:shd w:fill="auto" w:val="clear"/>
              </w:rPr>
              <w:t xml:space="preserve">Разом</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0"/>
                <w:u w:val="single"/>
                <w:shd w:fill="auto" w:val="clear"/>
              </w:rPr>
              <w:t xml:space="preserve">Первісна вартість станом на початок звітного року</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132 440</w:t>
            </w: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341 403</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14 122</w:t>
            </w: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7 268</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236</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495 469</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Придбано основних засобів</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1 678</w:t>
            </w: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42 735</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rFonts w:ascii="Calibri" w:hAnsi="Calibri" w:cs="Calibri" w:eastAsia="Calibri"/>
                <w:color w:val="auto"/>
                <w:spacing w:val="0"/>
                <w:position w:val="0"/>
                <w:sz w:val="22"/>
                <w:shd w:fill="auto" w:val="clear"/>
              </w:rPr>
            </w:pP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23</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41 369</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Вибуло</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rFonts w:ascii="Calibri" w:hAnsi="Calibri" w:cs="Calibri" w:eastAsia="Calibri"/>
                <w:color w:val="auto"/>
                <w:spacing w:val="0"/>
                <w:position w:val="0"/>
                <w:sz w:val="22"/>
                <w:shd w:fill="auto" w:val="clear"/>
              </w:rPr>
            </w:pP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(29 035)</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rFonts w:ascii="Calibri" w:hAnsi="Calibri" w:cs="Calibri" w:eastAsia="Calibri"/>
                <w:color w:val="auto"/>
                <w:spacing w:val="0"/>
                <w:position w:val="0"/>
                <w:sz w:val="22"/>
                <w:shd w:fill="auto" w:val="clear"/>
              </w:rPr>
            </w:pP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(56)</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(29 105)</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0"/>
                <w:u w:val="single"/>
                <w:shd w:fill="auto" w:val="clear"/>
              </w:rPr>
              <w:t xml:space="preserve">Первісна вартість станом на кінець звітного періоду</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134 118</w:t>
            </w: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355 103</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14 122</w:t>
            </w: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7 277</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180</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510 800</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0"/>
                <w:u w:val="single"/>
                <w:shd w:fill="auto" w:val="clear"/>
              </w:rPr>
              <w:t xml:space="preserve">Накопичена амортизація станом на початок звітного року</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47 452</w:t>
            </w: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54 153</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8 122</w:t>
            </w: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3 604</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121</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center"/>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103 445</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Амортизаційні нарахування за звітний період</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6 101</w:t>
            </w: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12 217</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509</w:t>
            </w: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527</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19 368</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color w:val="000000"/>
                <w:spacing w:val="0"/>
                <w:position w:val="0"/>
                <w:sz w:val="20"/>
                <w:u w:val="single"/>
                <w:shd w:fill="auto" w:val="clear"/>
              </w:rPr>
              <w:t xml:space="preserve">Вибуло</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rFonts w:ascii="Calibri" w:hAnsi="Calibri" w:cs="Calibri" w:eastAsia="Calibri"/>
                <w:color w:val="auto"/>
                <w:spacing w:val="0"/>
                <w:position w:val="0"/>
                <w:sz w:val="22"/>
                <w:shd w:fill="auto" w:val="clear"/>
              </w:rPr>
            </w:pP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(4 493)</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rFonts w:ascii="Calibri" w:hAnsi="Calibri" w:cs="Calibri" w:eastAsia="Calibri"/>
                <w:color w:val="auto"/>
                <w:spacing w:val="0"/>
                <w:position w:val="0"/>
                <w:sz w:val="22"/>
                <w:shd w:fill="auto" w:val="clear"/>
              </w:rPr>
            </w:pP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rFonts w:ascii="Calibri" w:hAnsi="Calibri" w:cs="Calibri" w:eastAsia="Calibri"/>
                <w:color w:val="auto"/>
                <w:spacing w:val="0"/>
                <w:position w:val="0"/>
                <w:sz w:val="22"/>
                <w:shd w:fill="auto" w:val="clear"/>
              </w:rPr>
            </w:pP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(4 507)</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0"/>
                <w:u w:val="single"/>
                <w:shd w:fill="auto" w:val="clear"/>
              </w:rPr>
              <w:t xml:space="preserve">Амортизація станом на кінець звітного періоду</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53 553</w:t>
            </w: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61 877</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8 631</w:t>
            </w: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4 117</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135</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128 313</w:t>
            </w:r>
          </w:p>
        </w:tc>
      </w:tr>
      <w:tr>
        <w:trPr>
          <w:trHeight w:val="1" w:hRule="atLeast"/>
          <w:jc w:val="left"/>
        </w:trPr>
        <w:tc>
          <w:tcPr>
            <w:tcW w:w="1759" w:type="dxa"/>
            <w:tcBorders>
              <w:top w:val="single" w:color="000000" w:sz="0"/>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0"/>
                <w:u w:val="single"/>
                <w:shd w:fill="auto" w:val="clear"/>
              </w:rPr>
              <w:t xml:space="preserve">Балансова вартість станом на кінець звітного періоду</w:t>
            </w:r>
          </w:p>
        </w:tc>
        <w:tc>
          <w:tcPr>
            <w:tcW w:w="131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80 565</w:t>
            </w:r>
          </w:p>
        </w:tc>
        <w:tc>
          <w:tcPr>
            <w:tcW w:w="117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293 226</w:t>
            </w:r>
          </w:p>
        </w:tc>
        <w:tc>
          <w:tcPr>
            <w:tcW w:w="127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5 491</w:t>
            </w:r>
          </w:p>
        </w:tc>
        <w:tc>
          <w:tcPr>
            <w:tcW w:w="1304"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3 160</w:t>
            </w:r>
          </w:p>
        </w:tc>
        <w:tc>
          <w:tcPr>
            <w:tcW w:w="1190" w:type="dxa"/>
            <w:tcBorders>
              <w:top w:val="single" w:color="000000" w:sz="0"/>
              <w:left w:val="single" w:color="000000" w:sz="4"/>
              <w:bottom w:val="single" w:color="000000" w:sz="4"/>
              <w:right w:val="single" w:color="000000" w:sz="0"/>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45</w:t>
            </w:r>
          </w:p>
        </w:tc>
        <w:tc>
          <w:tcPr>
            <w:tcW w:w="1397" w:type="dxa"/>
            <w:tcBorders>
              <w:top w:val="single" w:color="000000" w:sz="0"/>
              <w:left w:val="single" w:color="000000" w:sz="4"/>
              <w:bottom w:val="single" w:color="000000" w:sz="4"/>
              <w:right w:val="single" w:color="000000" w:sz="4"/>
            </w:tcBorders>
            <w:shd w:color="000000" w:fill="auto" w:val="clear"/>
            <w:tcMar>
              <w:left w:w="54" w:type="dxa"/>
              <w:right w:w="54" w:type="dxa"/>
            </w:tcMar>
            <w:vAlign w:val="center"/>
          </w:tcPr>
          <w:p>
            <w:pPr>
              <w:spacing w:before="120" w:after="120" w:line="240"/>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382 487</w:t>
            </w:r>
          </w:p>
        </w:tc>
      </w:tr>
    </w:tbl>
    <w:p>
      <w:pPr>
        <w:spacing w:before="120" w:after="120" w:line="259"/>
        <w:ind w:right="0" w:left="3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Станом на 31 грудня 2020 року вартість основних засобів, призначених до продажу становить 5 644 тис. грн.</w:t>
      </w:r>
    </w:p>
    <w:p>
      <w:pPr>
        <w:spacing w:before="120" w:after="120" w:line="259"/>
        <w:ind w:right="0" w:left="0" w:firstLine="708"/>
        <w:jc w:val="both"/>
        <w:rPr>
          <w:rFonts w:ascii="Times New Roman" w:hAnsi="Times New Roman" w:cs="Times New Roman" w:eastAsia="Times New Roman"/>
          <w:color w:val="000000"/>
          <w:spacing w:val="0"/>
          <w:position w:val="0"/>
          <w:sz w:val="24"/>
          <w:u w:val="single"/>
          <w:shd w:fill="auto" w:val="clear"/>
        </w:rPr>
      </w:pPr>
    </w:p>
    <w:p>
      <w:pPr>
        <w:spacing w:before="120" w:after="120" w:line="259"/>
        <w:ind w:right="0" w:left="0" w:firstLine="708"/>
        <w:jc w:val="both"/>
        <w:rPr>
          <w:rFonts w:ascii="Times New Roman" w:hAnsi="Times New Roman" w:cs="Times New Roman" w:eastAsia="Times New Roman"/>
          <w:color w:val="000000"/>
          <w:spacing w:val="0"/>
          <w:position w:val="0"/>
          <w:sz w:val="24"/>
          <w:u w:val="single"/>
          <w:shd w:fill="auto" w:val="clear"/>
        </w:rPr>
      </w:pPr>
    </w:p>
    <w:p>
      <w:pPr>
        <w:spacing w:before="120" w:after="120" w:line="259"/>
        <w:ind w:right="0" w:left="0" w:firstLine="708"/>
        <w:jc w:val="both"/>
        <w:rPr>
          <w:rFonts w:ascii="Times New Roman" w:hAnsi="Times New Roman" w:cs="Times New Roman" w:eastAsia="Times New Roman"/>
          <w:color w:val="000000"/>
          <w:spacing w:val="0"/>
          <w:position w:val="0"/>
          <w:sz w:val="24"/>
          <w:u w:val="single"/>
          <w:shd w:fill="auto" w:val="clear"/>
        </w:rPr>
      </w:pPr>
    </w:p>
    <w:p>
      <w:pPr>
        <w:spacing w:before="120" w:after="120" w:line="259"/>
        <w:ind w:right="0" w:left="0" w:firstLine="708"/>
        <w:jc w:val="both"/>
        <w:rPr>
          <w:rFonts w:ascii="Times New Roman" w:hAnsi="Times New Roman" w:cs="Times New Roman" w:eastAsia="Times New Roman"/>
          <w:color w:val="000000"/>
          <w:spacing w:val="0"/>
          <w:position w:val="0"/>
          <w:sz w:val="24"/>
          <w:u w:val="single"/>
          <w:shd w:fill="auto" w:val="clear"/>
        </w:rPr>
      </w:pPr>
    </w:p>
    <w:p>
      <w:pPr>
        <w:spacing w:before="120" w:after="120" w:line="259"/>
        <w:ind w:right="0" w:left="0" w:firstLine="708"/>
        <w:jc w:val="both"/>
        <w:rPr>
          <w:rFonts w:ascii="Times New Roman" w:hAnsi="Times New Roman" w:cs="Times New Roman" w:eastAsia="Times New Roman"/>
          <w:color w:val="000000"/>
          <w:spacing w:val="0"/>
          <w:position w:val="0"/>
          <w:sz w:val="24"/>
          <w:u w:val="single"/>
          <w:shd w:fill="auto" w:val="clear"/>
        </w:rPr>
      </w:pPr>
    </w:p>
    <w:p>
      <w:pPr>
        <w:spacing w:before="12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16. </w:t>
      </w:r>
      <w:r>
        <w:rPr>
          <w:rFonts w:ascii="Times New Roman" w:hAnsi="Times New Roman" w:cs="Times New Roman" w:eastAsia="Times New Roman"/>
          <w:b/>
          <w:color w:val="000000"/>
          <w:spacing w:val="0"/>
          <w:position w:val="0"/>
          <w:sz w:val="24"/>
          <w:u w:val="single"/>
          <w:shd w:fill="auto" w:val="clear"/>
        </w:rPr>
        <w:t xml:space="preserve">НЕМАТЕРІАЛЬНІ АКТИВИ</w:t>
      </w:r>
    </w:p>
    <w:p>
      <w:pPr>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Рух нематеріальних активів представлений таким чином:</w:t>
      </w:r>
    </w:p>
    <w:tbl>
      <w:tblPr/>
      <w:tblGrid>
        <w:gridCol w:w="7630"/>
        <w:gridCol w:w="1833"/>
      </w:tblGrid>
      <w:tr>
        <w:trPr>
          <w:trHeight w:val="1" w:hRule="atLeast"/>
          <w:jc w:val="left"/>
        </w:trPr>
        <w:tc>
          <w:tcPr>
            <w:tcW w:w="7630" w:type="dxa"/>
            <w:tcBorders>
              <w:top w:val="single" w:color="000000" w:sz="4"/>
              <w:left w:val="single" w:color="000000" w:sz="4"/>
              <w:bottom w:val="single" w:color="000000" w:sz="4"/>
              <w:right w:val="single" w:color="000000" w:sz="4"/>
            </w:tcBorders>
            <w:shd w:color="000000" w:fill="e6e6e6" w:val="clear"/>
            <w:tcMar>
              <w:left w:w="108" w:type="dxa"/>
              <w:right w:w="108" w:type="dxa"/>
            </w:tcMar>
            <w:vAlign w:val="center"/>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4"/>
                <w:u w:val="single"/>
                <w:shd w:fill="auto" w:val="clear"/>
              </w:rPr>
              <w:t xml:space="preserve">Показники</w:t>
            </w:r>
          </w:p>
        </w:tc>
        <w:tc>
          <w:tcPr>
            <w:tcW w:w="1833" w:type="dxa"/>
            <w:tcBorders>
              <w:top w:val="single" w:color="000000" w:sz="4"/>
              <w:left w:val="single" w:color="000000" w:sz="4"/>
              <w:bottom w:val="single" w:color="000000" w:sz="4"/>
              <w:right w:val="single" w:color="000000" w:sz="4"/>
            </w:tcBorders>
            <w:shd w:color="000000" w:fill="e6e6e6" w:val="clear"/>
            <w:tcMar>
              <w:left w:w="108" w:type="dxa"/>
              <w:right w:w="108" w:type="dxa"/>
            </w:tcMar>
            <w:vAlign w:val="center"/>
          </w:tcPr>
          <w:p>
            <w:pPr>
              <w:spacing w:before="120" w:after="120" w:line="259"/>
              <w:ind w:right="0" w:left="0" w:firstLine="0"/>
              <w:jc w:val="center"/>
              <w:rPr>
                <w:spacing w:val="0"/>
                <w:position w:val="0"/>
              </w:rPr>
            </w:pPr>
            <w:r>
              <w:rPr>
                <w:rFonts w:ascii="Times New Roman" w:hAnsi="Times New Roman" w:cs="Times New Roman" w:eastAsia="Times New Roman"/>
                <w:b/>
                <w:color w:val="000000"/>
                <w:spacing w:val="0"/>
                <w:position w:val="0"/>
                <w:sz w:val="24"/>
                <w:u w:val="single"/>
                <w:shd w:fill="auto" w:val="clear"/>
              </w:rPr>
              <w:t xml:space="preserve">Нематеріальні активи</w:t>
            </w:r>
          </w:p>
        </w:tc>
      </w:tr>
      <w:tr>
        <w:trPr>
          <w:trHeight w:val="1" w:hRule="atLeast"/>
          <w:jc w:val="left"/>
        </w:trPr>
        <w:tc>
          <w:tcPr>
            <w:tcW w:w="7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4"/>
                <w:u w:val="single"/>
                <w:shd w:fill="auto" w:val="clear"/>
              </w:rPr>
              <w:t xml:space="preserve">Чиста балансова вартість на 01 січня 2019 року</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b/>
                <w:color w:val="000000"/>
                <w:spacing w:val="0"/>
                <w:position w:val="0"/>
                <w:sz w:val="24"/>
                <w:u w:val="single"/>
                <w:shd w:fill="auto" w:val="clear"/>
              </w:rPr>
              <w:t xml:space="preserve">3 340</w:t>
            </w:r>
          </w:p>
        </w:tc>
      </w:tr>
      <w:tr>
        <w:trPr>
          <w:trHeight w:val="1" w:hRule="atLeast"/>
          <w:jc w:val="left"/>
        </w:trPr>
        <w:tc>
          <w:tcPr>
            <w:tcW w:w="7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color w:val="000000"/>
                <w:spacing w:val="0"/>
                <w:position w:val="0"/>
                <w:sz w:val="24"/>
                <w:u w:val="single"/>
                <w:shd w:fill="auto" w:val="clear"/>
              </w:rPr>
              <w:t xml:space="preserve">Надійшло у 2019 році</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color w:val="000000"/>
                <w:spacing w:val="0"/>
                <w:position w:val="0"/>
                <w:sz w:val="24"/>
                <w:u w:val="single"/>
                <w:shd w:fill="auto" w:val="clear"/>
              </w:rPr>
              <w:t xml:space="preserve">525</w:t>
            </w:r>
          </w:p>
        </w:tc>
      </w:tr>
      <w:tr>
        <w:trPr>
          <w:trHeight w:val="1" w:hRule="atLeast"/>
          <w:jc w:val="left"/>
        </w:trPr>
        <w:tc>
          <w:tcPr>
            <w:tcW w:w="7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color w:val="000000"/>
                <w:spacing w:val="0"/>
                <w:position w:val="0"/>
                <w:sz w:val="24"/>
                <w:u w:val="single"/>
                <w:shd w:fill="auto" w:val="clear"/>
              </w:rPr>
              <w:t xml:space="preserve">Вибуло у 2019 році</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color w:val="000000"/>
                <w:spacing w:val="0"/>
                <w:position w:val="0"/>
                <w:sz w:val="24"/>
                <w:u w:val="single"/>
                <w:shd w:fill="auto" w:val="clear"/>
              </w:rPr>
              <w:t xml:space="preserve">80</w:t>
            </w:r>
          </w:p>
        </w:tc>
      </w:tr>
      <w:tr>
        <w:trPr>
          <w:trHeight w:val="1" w:hRule="atLeast"/>
          <w:jc w:val="left"/>
        </w:trPr>
        <w:tc>
          <w:tcPr>
            <w:tcW w:w="7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color w:val="000000"/>
                <w:spacing w:val="0"/>
                <w:position w:val="0"/>
                <w:sz w:val="24"/>
                <w:u w:val="single"/>
                <w:shd w:fill="auto" w:val="clear"/>
              </w:rPr>
              <w:t xml:space="preserve">Накопичена амортизація у 2019 році</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color w:val="000000"/>
                <w:spacing w:val="0"/>
                <w:position w:val="0"/>
                <w:sz w:val="24"/>
                <w:u w:val="single"/>
                <w:shd w:fill="auto" w:val="clear"/>
              </w:rPr>
              <w:t xml:space="preserve">592</w:t>
            </w:r>
          </w:p>
        </w:tc>
      </w:tr>
      <w:tr>
        <w:trPr>
          <w:trHeight w:val="1" w:hRule="atLeast"/>
          <w:jc w:val="left"/>
        </w:trPr>
        <w:tc>
          <w:tcPr>
            <w:tcW w:w="7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4"/>
                <w:u w:val="single"/>
                <w:shd w:fill="auto" w:val="clear"/>
              </w:rPr>
              <w:t xml:space="preserve">Чиста балансова вартість на 31 грудня 2019 року</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b/>
                <w:color w:val="000000"/>
                <w:spacing w:val="0"/>
                <w:position w:val="0"/>
                <w:sz w:val="24"/>
                <w:u w:val="single"/>
                <w:shd w:fill="auto" w:val="clear"/>
              </w:rPr>
              <w:t xml:space="preserve">3 193</w:t>
            </w:r>
          </w:p>
        </w:tc>
      </w:tr>
      <w:tr>
        <w:trPr>
          <w:trHeight w:val="1" w:hRule="atLeast"/>
          <w:jc w:val="left"/>
        </w:trPr>
        <w:tc>
          <w:tcPr>
            <w:tcW w:w="7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color w:val="000000"/>
                <w:spacing w:val="0"/>
                <w:position w:val="0"/>
                <w:sz w:val="24"/>
                <w:u w:val="single"/>
                <w:shd w:fill="auto" w:val="clear"/>
              </w:rPr>
              <w:t xml:space="preserve">Надійшло у 2020 році</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color w:val="000000"/>
                <w:spacing w:val="0"/>
                <w:position w:val="0"/>
                <w:sz w:val="24"/>
                <w:u w:val="single"/>
                <w:shd w:fill="auto" w:val="clear"/>
              </w:rPr>
              <w:t xml:space="preserve">945</w:t>
            </w:r>
          </w:p>
        </w:tc>
      </w:tr>
      <w:tr>
        <w:trPr>
          <w:trHeight w:val="1" w:hRule="atLeast"/>
          <w:jc w:val="left"/>
        </w:trPr>
        <w:tc>
          <w:tcPr>
            <w:tcW w:w="7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color w:val="000000"/>
                <w:spacing w:val="0"/>
                <w:position w:val="0"/>
                <w:sz w:val="24"/>
                <w:u w:val="single"/>
                <w:shd w:fill="auto" w:val="clear"/>
              </w:rPr>
              <w:t xml:space="preserve">Вибуло у 2020 році</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color w:val="000000"/>
                <w:spacing w:val="0"/>
                <w:position w:val="0"/>
                <w:sz w:val="24"/>
                <w:u w:val="single"/>
                <w:shd w:fill="auto" w:val="clear"/>
              </w:rPr>
              <w:t xml:space="preserve">---</w:t>
            </w:r>
          </w:p>
        </w:tc>
      </w:tr>
      <w:tr>
        <w:trPr>
          <w:trHeight w:val="1" w:hRule="atLeast"/>
          <w:jc w:val="left"/>
        </w:trPr>
        <w:tc>
          <w:tcPr>
            <w:tcW w:w="7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color w:val="000000"/>
                <w:spacing w:val="0"/>
                <w:position w:val="0"/>
                <w:sz w:val="24"/>
                <w:u w:val="single"/>
                <w:shd w:fill="auto" w:val="clear"/>
              </w:rPr>
              <w:t xml:space="preserve">Накопичена амортизація у 2020 році</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color w:val="000000"/>
                <w:spacing w:val="0"/>
                <w:position w:val="0"/>
                <w:sz w:val="24"/>
                <w:u w:val="single"/>
                <w:shd w:fill="auto" w:val="clear"/>
              </w:rPr>
              <w:t xml:space="preserve">606</w:t>
            </w:r>
          </w:p>
        </w:tc>
      </w:tr>
      <w:tr>
        <w:trPr>
          <w:trHeight w:val="1" w:hRule="atLeast"/>
          <w:jc w:val="left"/>
        </w:trPr>
        <w:tc>
          <w:tcPr>
            <w:tcW w:w="7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left"/>
              <w:rPr>
                <w:spacing w:val="0"/>
                <w:position w:val="0"/>
              </w:rPr>
            </w:pPr>
            <w:r>
              <w:rPr>
                <w:rFonts w:ascii="Times New Roman" w:hAnsi="Times New Roman" w:cs="Times New Roman" w:eastAsia="Times New Roman"/>
                <w:b/>
                <w:color w:val="000000"/>
                <w:spacing w:val="0"/>
                <w:position w:val="0"/>
                <w:sz w:val="24"/>
                <w:u w:val="single"/>
                <w:shd w:fill="auto" w:val="clear"/>
              </w:rPr>
              <w:t xml:space="preserve">Чиста балансова вартість на 31 грудня 2020 року</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rPr>
            </w:pPr>
            <w:r>
              <w:rPr>
                <w:rFonts w:ascii="Times New Roman" w:hAnsi="Times New Roman" w:cs="Times New Roman" w:eastAsia="Times New Roman"/>
                <w:b/>
                <w:color w:val="000000"/>
                <w:spacing w:val="0"/>
                <w:position w:val="0"/>
                <w:sz w:val="24"/>
                <w:u w:val="single"/>
                <w:shd w:fill="auto" w:val="clear"/>
              </w:rPr>
              <w:t xml:space="preserve">3 532</w:t>
            </w:r>
          </w:p>
        </w:tc>
      </w:tr>
    </w:tbl>
    <w:p>
      <w:pPr>
        <w:spacing w:before="12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До складу нематеріальних активів входить вартість програмних продуктів, які використовуються у господарській діяльності Товариства та право на використання земельної ділянки для видобутку каоліну.</w:t>
      </w:r>
    </w:p>
    <w:p>
      <w:pPr>
        <w:keepNext w:val="true"/>
        <w:tabs>
          <w:tab w:val="left" w:pos="0" w:leader="none"/>
        </w:tabs>
        <w:spacing w:before="120" w:after="120" w:line="240"/>
        <w:ind w:right="0" w:left="72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17. </w:t>
      </w:r>
      <w:r>
        <w:rPr>
          <w:rFonts w:ascii="Times New Roman" w:hAnsi="Times New Roman" w:cs="Times New Roman" w:eastAsia="Times New Roman"/>
          <w:b/>
          <w:color w:val="000000"/>
          <w:spacing w:val="0"/>
          <w:position w:val="0"/>
          <w:sz w:val="24"/>
          <w:u w:val="single"/>
          <w:shd w:fill="auto" w:val="clear"/>
        </w:rPr>
        <w:t xml:space="preserve">ЗАПАСИ</w:t>
      </w:r>
    </w:p>
    <w:p>
      <w:pPr>
        <w:spacing w:before="120" w:after="120" w:line="259"/>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Запаси Товариства були представлені наступним чином:</w:t>
        <w:tab/>
      </w:r>
    </w:p>
    <w:tbl>
      <w:tblPr/>
      <w:tblGrid>
        <w:gridCol w:w="5812"/>
        <w:gridCol w:w="1843"/>
        <w:gridCol w:w="1808"/>
      </w:tblGrid>
      <w:tr>
        <w:trPr>
          <w:trHeight w:val="1" w:hRule="atLeast"/>
          <w:jc w:val="left"/>
        </w:trPr>
        <w:tc>
          <w:tcPr>
            <w:tcW w:w="5812" w:type="dxa"/>
            <w:tcBorders>
              <w:top w:val="single" w:color="000000" w:sz="4"/>
              <w:left w:val="single" w:color="000000" w:sz="4"/>
              <w:bottom w:val="single" w:color="000000" w:sz="4"/>
              <w:right w:val="single" w:color="000000" w:sz="0"/>
            </w:tcBorders>
            <w:shd w:color="000000" w:fill="f2f2f2"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Запаси</w:t>
            </w:r>
          </w:p>
        </w:tc>
        <w:tc>
          <w:tcPr>
            <w:tcW w:w="1843"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w:t>
            </w:r>
            <w:r>
              <w:rPr>
                <w:rFonts w:ascii="Times New Roman" w:hAnsi="Times New Roman" w:cs="Times New Roman" w:eastAsia="Times New Roman"/>
                <w:b/>
                <w:color w:val="000000"/>
                <w:spacing w:val="0"/>
                <w:position w:val="0"/>
                <w:sz w:val="22"/>
                <w:u w:val="single"/>
                <w:shd w:fill="auto" w:val="clear"/>
              </w:rPr>
              <w:t xml:space="preserve">грудня 2019 року</w:t>
            </w:r>
          </w:p>
        </w:tc>
        <w:tc>
          <w:tcPr>
            <w:tcW w:w="1808"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w:t>
            </w:r>
            <w:r>
              <w:rPr>
                <w:rFonts w:ascii="Times New Roman" w:hAnsi="Times New Roman" w:cs="Times New Roman" w:eastAsia="Times New Roman"/>
                <w:b/>
                <w:color w:val="000000"/>
                <w:spacing w:val="0"/>
                <w:position w:val="0"/>
                <w:sz w:val="22"/>
                <w:u w:val="single"/>
                <w:shd w:fill="auto" w:val="clear"/>
              </w:rPr>
              <w:t xml:space="preserve">грудня 2020 року</w:t>
            </w:r>
          </w:p>
        </w:tc>
      </w:tr>
      <w:tr>
        <w:trPr>
          <w:trHeight w:val="1" w:hRule="atLeast"/>
          <w:jc w:val="left"/>
        </w:trPr>
        <w:tc>
          <w:tcPr>
            <w:tcW w:w="581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Сировина і матеріали</w:t>
            </w:r>
          </w:p>
        </w:tc>
        <w:tc>
          <w:tcPr>
            <w:tcW w:w="184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2 843</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6 191</w:t>
            </w:r>
          </w:p>
        </w:tc>
      </w:tr>
      <w:tr>
        <w:trPr>
          <w:trHeight w:val="1" w:hRule="atLeast"/>
          <w:jc w:val="left"/>
        </w:trPr>
        <w:tc>
          <w:tcPr>
            <w:tcW w:w="581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Паливо</w:t>
            </w:r>
          </w:p>
        </w:tc>
        <w:tc>
          <w:tcPr>
            <w:tcW w:w="184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5 501</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1 129</w:t>
            </w:r>
          </w:p>
        </w:tc>
      </w:tr>
      <w:tr>
        <w:trPr>
          <w:trHeight w:val="1" w:hRule="atLeast"/>
          <w:jc w:val="left"/>
        </w:trPr>
        <w:tc>
          <w:tcPr>
            <w:tcW w:w="581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Тара і тарні матеріали</w:t>
            </w:r>
          </w:p>
        </w:tc>
        <w:tc>
          <w:tcPr>
            <w:tcW w:w="184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3 342</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2 104</w:t>
            </w:r>
          </w:p>
        </w:tc>
      </w:tr>
      <w:tr>
        <w:trPr>
          <w:trHeight w:val="1" w:hRule="atLeast"/>
          <w:jc w:val="left"/>
        </w:trPr>
        <w:tc>
          <w:tcPr>
            <w:tcW w:w="581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Запасні частини</w:t>
            </w:r>
          </w:p>
        </w:tc>
        <w:tc>
          <w:tcPr>
            <w:tcW w:w="184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3 320</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3 438</w:t>
            </w:r>
          </w:p>
        </w:tc>
      </w:tr>
      <w:tr>
        <w:trPr>
          <w:trHeight w:val="1" w:hRule="atLeast"/>
          <w:jc w:val="left"/>
        </w:trPr>
        <w:tc>
          <w:tcPr>
            <w:tcW w:w="581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Малоцінні та швидкозношувані предмети</w:t>
            </w:r>
          </w:p>
        </w:tc>
        <w:tc>
          <w:tcPr>
            <w:tcW w:w="184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1 422</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1 429</w:t>
            </w:r>
          </w:p>
        </w:tc>
      </w:tr>
      <w:tr>
        <w:trPr>
          <w:trHeight w:val="1" w:hRule="atLeast"/>
          <w:jc w:val="left"/>
        </w:trPr>
        <w:tc>
          <w:tcPr>
            <w:tcW w:w="581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Напівфабрикати</w:t>
            </w:r>
          </w:p>
        </w:tc>
        <w:tc>
          <w:tcPr>
            <w:tcW w:w="184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48 434</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70 851</w:t>
            </w:r>
          </w:p>
        </w:tc>
      </w:tr>
      <w:tr>
        <w:trPr>
          <w:trHeight w:val="1" w:hRule="atLeast"/>
          <w:jc w:val="left"/>
        </w:trPr>
        <w:tc>
          <w:tcPr>
            <w:tcW w:w="581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Готова продукція</w:t>
            </w:r>
          </w:p>
        </w:tc>
        <w:tc>
          <w:tcPr>
            <w:tcW w:w="184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77 848</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92 198</w:t>
            </w:r>
          </w:p>
        </w:tc>
      </w:tr>
      <w:tr>
        <w:trPr>
          <w:trHeight w:val="1" w:hRule="atLeast"/>
          <w:jc w:val="left"/>
        </w:trPr>
        <w:tc>
          <w:tcPr>
            <w:tcW w:w="581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Товари</w:t>
            </w:r>
          </w:p>
        </w:tc>
        <w:tc>
          <w:tcPr>
            <w:tcW w:w="184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w:t>
            </w:r>
          </w:p>
        </w:tc>
      </w:tr>
      <w:tr>
        <w:trPr>
          <w:trHeight w:val="1" w:hRule="atLeast"/>
          <w:jc w:val="left"/>
        </w:trPr>
        <w:tc>
          <w:tcPr>
            <w:tcW w:w="581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матеріали</w:t>
            </w:r>
          </w:p>
        </w:tc>
        <w:tc>
          <w:tcPr>
            <w:tcW w:w="184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12 585</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7 684</w:t>
            </w:r>
          </w:p>
        </w:tc>
      </w:tr>
      <w:tr>
        <w:trPr>
          <w:trHeight w:val="1" w:hRule="atLeast"/>
          <w:jc w:val="left"/>
        </w:trPr>
        <w:tc>
          <w:tcPr>
            <w:tcW w:w="581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184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155 295</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185 024</w:t>
            </w:r>
          </w:p>
        </w:tc>
      </w:tr>
    </w:tbl>
    <w:p>
      <w:pPr>
        <w:tabs>
          <w:tab w:val="left" w:pos="567" w:leader="none"/>
        </w:tabs>
        <w:spacing w:before="120" w:after="120" w:line="259"/>
        <w:ind w:right="0" w:left="0" w:firstLine="567"/>
        <w:jc w:val="both"/>
        <w:rPr>
          <w:rFonts w:ascii="Times New Roman" w:hAnsi="Times New Roman" w:cs="Times New Roman" w:eastAsia="Times New Roman"/>
          <w:color w:val="000000"/>
          <w:spacing w:val="0"/>
          <w:position w:val="0"/>
          <w:sz w:val="24"/>
          <w:u w:val="single"/>
          <w:shd w:fill="auto" w:val="clear"/>
        </w:rPr>
      </w:pPr>
    </w:p>
    <w:p>
      <w:pPr>
        <w:tabs>
          <w:tab w:val="left" w:pos="567" w:leader="none"/>
        </w:tabs>
        <w:spacing w:before="120" w:after="120" w:line="259"/>
        <w:ind w:right="0" w:left="0" w:firstLine="567"/>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18. </w:t>
      </w:r>
      <w:r>
        <w:rPr>
          <w:rFonts w:ascii="Times New Roman" w:hAnsi="Times New Roman" w:cs="Times New Roman" w:eastAsia="Times New Roman"/>
          <w:b/>
          <w:color w:val="000000"/>
          <w:spacing w:val="0"/>
          <w:position w:val="0"/>
          <w:sz w:val="24"/>
          <w:u w:val="single"/>
          <w:shd w:fill="auto" w:val="clear"/>
        </w:rPr>
        <w:t xml:space="preserve">ТОРГОВЕЛЬНА ТА ІНША ДЕБІТОРСЬКА ЗАБОРГОВАНІСТЬ, НЕТТО</w:t>
      </w:r>
    </w:p>
    <w:p>
      <w:pPr>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Торговельна і інша дебіторська заборгованість були представлені таким чином:</w:t>
      </w:r>
    </w:p>
    <w:tbl>
      <w:tblPr/>
      <w:tblGrid>
        <w:gridCol w:w="5812"/>
        <w:gridCol w:w="1843"/>
        <w:gridCol w:w="1808"/>
      </w:tblGrid>
      <w:tr>
        <w:trPr>
          <w:trHeight w:val="1" w:hRule="atLeast"/>
          <w:jc w:val="left"/>
        </w:trPr>
        <w:tc>
          <w:tcPr>
            <w:tcW w:w="5812" w:type="dxa"/>
            <w:tcBorders>
              <w:top w:val="single" w:color="000000" w:sz="4"/>
              <w:left w:val="single" w:color="000000" w:sz="4"/>
              <w:bottom w:val="single" w:color="000000" w:sz="4"/>
              <w:right w:val="single" w:color="000000" w:sz="0"/>
            </w:tcBorders>
            <w:shd w:color="000000" w:fill="f2f2f2"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Дебіторська заборгованість</w:t>
            </w:r>
          </w:p>
        </w:tc>
        <w:tc>
          <w:tcPr>
            <w:tcW w:w="1843"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w:t>
            </w:r>
            <w:r>
              <w:rPr>
                <w:rFonts w:ascii="Times New Roman" w:hAnsi="Times New Roman" w:cs="Times New Roman" w:eastAsia="Times New Roman"/>
                <w:b/>
                <w:color w:val="000000"/>
                <w:spacing w:val="0"/>
                <w:position w:val="0"/>
                <w:sz w:val="22"/>
                <w:u w:val="single"/>
                <w:shd w:fill="auto" w:val="clear"/>
              </w:rPr>
              <w:t xml:space="preserve">грудня 2019 року</w:t>
            </w:r>
          </w:p>
        </w:tc>
        <w:tc>
          <w:tcPr>
            <w:tcW w:w="1808"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w:t>
            </w:r>
            <w:r>
              <w:rPr>
                <w:rFonts w:ascii="Times New Roman" w:hAnsi="Times New Roman" w:cs="Times New Roman" w:eastAsia="Times New Roman"/>
                <w:b/>
                <w:color w:val="000000"/>
                <w:spacing w:val="0"/>
                <w:position w:val="0"/>
                <w:sz w:val="22"/>
                <w:u w:val="single"/>
                <w:shd w:fill="auto" w:val="clear"/>
              </w:rPr>
              <w:t xml:space="preserve">грудня 2020 року</w:t>
            </w:r>
          </w:p>
        </w:tc>
      </w:tr>
      <w:tr>
        <w:trPr>
          <w:trHeight w:val="1" w:hRule="atLeast"/>
          <w:jc w:val="left"/>
        </w:trPr>
        <w:tc>
          <w:tcPr>
            <w:tcW w:w="581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Дебіторська заборгованість за продукцію (первісна вартість)</w:t>
            </w:r>
          </w:p>
        </w:tc>
        <w:tc>
          <w:tcPr>
            <w:tcW w:w="184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6 814</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24 370</w:t>
            </w:r>
          </w:p>
        </w:tc>
      </w:tr>
      <w:tr>
        <w:trPr>
          <w:trHeight w:val="1" w:hRule="atLeast"/>
          <w:jc w:val="left"/>
        </w:trPr>
        <w:tc>
          <w:tcPr>
            <w:tcW w:w="581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Резерв сумнівних боргів</w:t>
            </w:r>
          </w:p>
        </w:tc>
        <w:tc>
          <w:tcPr>
            <w:tcW w:w="184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0</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w:t>
            </w:r>
          </w:p>
        </w:tc>
      </w:tr>
      <w:tr>
        <w:trPr>
          <w:trHeight w:val="1" w:hRule="atLeast"/>
          <w:jc w:val="left"/>
        </w:trPr>
        <w:tc>
          <w:tcPr>
            <w:tcW w:w="581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Дебіторська заборгованість за продукцію (чиста вартість)</w:t>
            </w:r>
          </w:p>
        </w:tc>
        <w:tc>
          <w:tcPr>
            <w:tcW w:w="184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6 814</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24 367</w:t>
            </w:r>
          </w:p>
        </w:tc>
      </w:tr>
      <w:tr>
        <w:trPr>
          <w:trHeight w:val="1" w:hRule="atLeast"/>
          <w:jc w:val="left"/>
        </w:trPr>
        <w:tc>
          <w:tcPr>
            <w:tcW w:w="581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Інша дебіторська заборгованість</w:t>
            </w:r>
          </w:p>
        </w:tc>
        <w:tc>
          <w:tcPr>
            <w:tcW w:w="184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1 376</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2 936</w:t>
            </w:r>
          </w:p>
        </w:tc>
      </w:tr>
      <w:tr>
        <w:trPr>
          <w:trHeight w:val="1" w:hRule="atLeast"/>
          <w:jc w:val="left"/>
        </w:trPr>
        <w:tc>
          <w:tcPr>
            <w:tcW w:w="5812"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1843"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8 190</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27 300</w:t>
            </w:r>
          </w:p>
        </w:tc>
      </w:tr>
    </w:tbl>
    <w:p>
      <w:pPr>
        <w:keepNext w:val="true"/>
        <w:spacing w:before="120" w:after="120" w:line="259"/>
        <w:ind w:right="0" w:left="705" w:firstLine="0"/>
        <w:jc w:val="left"/>
        <w:rPr>
          <w:rFonts w:ascii="Times New Roman" w:hAnsi="Times New Roman" w:cs="Times New Roman" w:eastAsia="Times New Roman"/>
          <w:color w:val="000000"/>
          <w:spacing w:val="0"/>
          <w:position w:val="0"/>
          <w:sz w:val="24"/>
          <w:u w:val="single"/>
          <w:shd w:fill="auto" w:val="clear"/>
        </w:rPr>
      </w:pPr>
    </w:p>
    <w:p>
      <w:pPr>
        <w:keepNext w:val="true"/>
        <w:spacing w:before="120" w:after="120" w:line="259"/>
        <w:ind w:right="0" w:left="705"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19. </w:t>
      </w:r>
      <w:r>
        <w:rPr>
          <w:rFonts w:ascii="Times New Roman" w:hAnsi="Times New Roman" w:cs="Times New Roman" w:eastAsia="Times New Roman"/>
          <w:b/>
          <w:color w:val="000000"/>
          <w:spacing w:val="0"/>
          <w:position w:val="0"/>
          <w:sz w:val="24"/>
          <w:u w:val="single"/>
          <w:shd w:fill="auto" w:val="clear"/>
        </w:rPr>
        <w:t xml:space="preserve">ПЕРЕДПЛАТИ ТА ІНШІ ОБОРОТНІ АКТИВИ, НЕТТО</w:t>
      </w:r>
    </w:p>
    <w:p>
      <w:pPr>
        <w:keepNext w:val="true"/>
        <w:spacing w:before="120" w:after="120" w:line="259"/>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Передплати та інші оборотні активи були представлені таким чином:</w:t>
      </w:r>
    </w:p>
    <w:tbl>
      <w:tblPr/>
      <w:tblGrid>
        <w:gridCol w:w="5670"/>
        <w:gridCol w:w="1985"/>
        <w:gridCol w:w="1808"/>
      </w:tblGrid>
      <w:tr>
        <w:trPr>
          <w:trHeight w:val="1" w:hRule="atLeast"/>
          <w:jc w:val="left"/>
        </w:trPr>
        <w:tc>
          <w:tcPr>
            <w:tcW w:w="5670" w:type="dxa"/>
            <w:tcBorders>
              <w:top w:val="single" w:color="000000" w:sz="4"/>
              <w:left w:val="single" w:color="000000" w:sz="4"/>
              <w:bottom w:val="single" w:color="000000" w:sz="4"/>
              <w:right w:val="single" w:color="000000" w:sz="0"/>
            </w:tcBorders>
            <w:shd w:color="000000" w:fill="f2f2f2"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Дебіторська заборгованість</w:t>
            </w:r>
          </w:p>
        </w:tc>
        <w:tc>
          <w:tcPr>
            <w:tcW w:w="1985"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w:t>
            </w:r>
            <w:r>
              <w:rPr>
                <w:rFonts w:ascii="Times New Roman" w:hAnsi="Times New Roman" w:cs="Times New Roman" w:eastAsia="Times New Roman"/>
                <w:b/>
                <w:color w:val="000000"/>
                <w:spacing w:val="0"/>
                <w:position w:val="0"/>
                <w:sz w:val="22"/>
                <w:u w:val="single"/>
                <w:shd w:fill="auto" w:val="clear"/>
              </w:rPr>
              <w:t xml:space="preserve">грудня 2019 року</w:t>
            </w:r>
          </w:p>
        </w:tc>
        <w:tc>
          <w:tcPr>
            <w:tcW w:w="1808"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w:t>
            </w:r>
            <w:r>
              <w:rPr>
                <w:rFonts w:ascii="Times New Roman" w:hAnsi="Times New Roman" w:cs="Times New Roman" w:eastAsia="Times New Roman"/>
                <w:b/>
                <w:color w:val="000000"/>
                <w:spacing w:val="0"/>
                <w:position w:val="0"/>
                <w:sz w:val="22"/>
                <w:u w:val="single"/>
                <w:shd w:fill="auto" w:val="clear"/>
              </w:rPr>
              <w:t xml:space="preserve">грудня 2020 року</w:t>
            </w:r>
          </w:p>
        </w:tc>
      </w:tr>
      <w:tr>
        <w:trPr>
          <w:trHeight w:val="1" w:hRule="atLeast"/>
          <w:jc w:val="left"/>
        </w:trPr>
        <w:tc>
          <w:tcPr>
            <w:tcW w:w="5670"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Аванси постачальникам</w:t>
            </w:r>
          </w:p>
        </w:tc>
        <w:tc>
          <w:tcPr>
            <w:tcW w:w="1985"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2 227</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1 055</w:t>
            </w:r>
          </w:p>
        </w:tc>
      </w:tr>
      <w:tr>
        <w:trPr>
          <w:trHeight w:val="1" w:hRule="atLeast"/>
          <w:jc w:val="left"/>
        </w:trPr>
        <w:tc>
          <w:tcPr>
            <w:tcW w:w="5670"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оборотні активи</w:t>
            </w:r>
          </w:p>
        </w:tc>
        <w:tc>
          <w:tcPr>
            <w:tcW w:w="1985"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2 929</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3 316</w:t>
            </w:r>
          </w:p>
        </w:tc>
      </w:tr>
      <w:tr>
        <w:trPr>
          <w:trHeight w:val="1" w:hRule="atLeast"/>
          <w:jc w:val="left"/>
        </w:trPr>
        <w:tc>
          <w:tcPr>
            <w:tcW w:w="5670"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1985"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5 156</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4 371</w:t>
            </w:r>
          </w:p>
        </w:tc>
      </w:tr>
    </w:tbl>
    <w:p>
      <w:pPr>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Передплати, зроблені третім сторонам, переважно являють собою передплати, зроблені за матеріали та енергоносії.</w:t>
      </w:r>
    </w:p>
    <w:p>
      <w:pPr>
        <w:keepNext w:val="true"/>
        <w:tabs>
          <w:tab w:val="left" w:pos="0" w:leader="none"/>
        </w:tabs>
        <w:spacing w:before="120" w:after="120" w:line="240"/>
        <w:ind w:right="0" w:left="735"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20. </w:t>
      </w:r>
      <w:r>
        <w:rPr>
          <w:rFonts w:ascii="Times New Roman" w:hAnsi="Times New Roman" w:cs="Times New Roman" w:eastAsia="Times New Roman"/>
          <w:b/>
          <w:color w:val="000000"/>
          <w:spacing w:val="0"/>
          <w:position w:val="0"/>
          <w:sz w:val="24"/>
          <w:u w:val="single"/>
          <w:shd w:fill="auto" w:val="clear"/>
        </w:rPr>
        <w:t xml:space="preserve">ПОТОЧНІ ПОДАТКОВІ АКТИВИ ТА ЗОБОВ’ЯЗАННЯ</w:t>
      </w:r>
    </w:p>
    <w:p>
      <w:pPr>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Поточні податкові активи та зобов'язання Товариства були представлені наступним чином:</w:t>
      </w:r>
    </w:p>
    <w:tbl>
      <w:tblPr/>
      <w:tblGrid>
        <w:gridCol w:w="5670"/>
        <w:gridCol w:w="1985"/>
        <w:gridCol w:w="1808"/>
      </w:tblGrid>
      <w:tr>
        <w:trPr>
          <w:trHeight w:val="1" w:hRule="atLeast"/>
          <w:jc w:val="left"/>
        </w:trPr>
        <w:tc>
          <w:tcPr>
            <w:tcW w:w="5670" w:type="dxa"/>
            <w:tcBorders>
              <w:top w:val="single" w:color="000000" w:sz="4"/>
              <w:left w:val="single" w:color="000000" w:sz="4"/>
              <w:bottom w:val="single" w:color="000000" w:sz="4"/>
              <w:right w:val="single" w:color="000000" w:sz="0"/>
            </w:tcBorders>
            <w:shd w:color="000000" w:fill="f2f2f2"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Поточні податкові активи та зобов'язання </w:t>
            </w:r>
          </w:p>
        </w:tc>
        <w:tc>
          <w:tcPr>
            <w:tcW w:w="1985"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w:t>
            </w:r>
            <w:r>
              <w:rPr>
                <w:rFonts w:ascii="Times New Roman" w:hAnsi="Times New Roman" w:cs="Times New Roman" w:eastAsia="Times New Roman"/>
                <w:b/>
                <w:color w:val="000000"/>
                <w:spacing w:val="0"/>
                <w:position w:val="0"/>
                <w:sz w:val="22"/>
                <w:u w:val="single"/>
                <w:shd w:fill="auto" w:val="clear"/>
              </w:rPr>
              <w:t xml:space="preserve">грудня 2019 року</w:t>
            </w:r>
          </w:p>
        </w:tc>
        <w:tc>
          <w:tcPr>
            <w:tcW w:w="1808"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w:t>
            </w:r>
            <w:r>
              <w:rPr>
                <w:rFonts w:ascii="Times New Roman" w:hAnsi="Times New Roman" w:cs="Times New Roman" w:eastAsia="Times New Roman"/>
                <w:b/>
                <w:color w:val="000000"/>
                <w:spacing w:val="0"/>
                <w:position w:val="0"/>
                <w:sz w:val="22"/>
                <w:u w:val="single"/>
                <w:shd w:fill="auto" w:val="clear"/>
              </w:rPr>
              <w:t xml:space="preserve">грудня 2020 року</w:t>
            </w:r>
          </w:p>
        </w:tc>
      </w:tr>
      <w:tr>
        <w:trPr>
          <w:trHeight w:val="1" w:hRule="atLeast"/>
          <w:jc w:val="left"/>
        </w:trPr>
        <w:tc>
          <w:tcPr>
            <w:tcW w:w="5670"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Поточні податкові активи, в т. ч.:</w:t>
            </w:r>
          </w:p>
        </w:tc>
        <w:tc>
          <w:tcPr>
            <w:tcW w:w="1985"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9 423</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7 583</w:t>
            </w:r>
          </w:p>
        </w:tc>
      </w:tr>
      <w:tr>
        <w:trPr>
          <w:trHeight w:val="1" w:hRule="atLeast"/>
          <w:jc w:val="left"/>
        </w:trPr>
        <w:tc>
          <w:tcPr>
            <w:tcW w:w="5670"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Податок на додану вартість</w:t>
            </w:r>
          </w:p>
        </w:tc>
        <w:tc>
          <w:tcPr>
            <w:tcW w:w="1985"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9 310</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7 289</w:t>
            </w:r>
          </w:p>
        </w:tc>
      </w:tr>
      <w:tr>
        <w:trPr>
          <w:trHeight w:val="1" w:hRule="atLeast"/>
          <w:jc w:val="left"/>
        </w:trPr>
        <w:tc>
          <w:tcPr>
            <w:tcW w:w="5670"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Податок на прибуток</w:t>
            </w:r>
          </w:p>
        </w:tc>
        <w:tc>
          <w:tcPr>
            <w:tcW w:w="1985"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113</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294</w:t>
            </w:r>
          </w:p>
        </w:tc>
      </w:tr>
      <w:tr>
        <w:trPr>
          <w:trHeight w:val="1" w:hRule="atLeast"/>
          <w:jc w:val="left"/>
        </w:trPr>
        <w:tc>
          <w:tcPr>
            <w:tcW w:w="5670"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Поточні податкові зобов'язання, в т. ч.</w:t>
            </w:r>
          </w:p>
        </w:tc>
        <w:tc>
          <w:tcPr>
            <w:tcW w:w="1985"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1 223</w:t>
            </w:r>
          </w:p>
        </w:tc>
        <w:tc>
          <w:tcPr>
            <w:tcW w:w="1808"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904</w:t>
            </w:r>
          </w:p>
        </w:tc>
      </w:tr>
      <w:tr>
        <w:trPr>
          <w:trHeight w:val="1" w:hRule="atLeast"/>
          <w:jc w:val="left"/>
        </w:trPr>
        <w:tc>
          <w:tcPr>
            <w:tcW w:w="5670"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Податок на прибуток</w:t>
            </w:r>
          </w:p>
        </w:tc>
        <w:tc>
          <w:tcPr>
            <w:tcW w:w="19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rFonts w:ascii="Calibri" w:hAnsi="Calibri" w:cs="Calibri" w:eastAsia="Calibri"/>
                <w:color w:val="auto"/>
                <w:spacing w:val="0"/>
                <w:position w:val="0"/>
                <w:sz w:val="22"/>
                <w:shd w:fill="auto" w:val="clear"/>
              </w:rPr>
            </w:pPr>
          </w:p>
        </w:tc>
        <w:tc>
          <w:tcPr>
            <w:tcW w:w="1808"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5670"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Податок з доходів фізичних осіб</w:t>
            </w:r>
          </w:p>
        </w:tc>
        <w:tc>
          <w:tcPr>
            <w:tcW w:w="19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451</w:t>
            </w:r>
          </w:p>
        </w:tc>
        <w:tc>
          <w:tcPr>
            <w:tcW w:w="1808"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401</w:t>
            </w:r>
          </w:p>
        </w:tc>
      </w:tr>
      <w:tr>
        <w:trPr>
          <w:trHeight w:val="1" w:hRule="atLeast"/>
          <w:jc w:val="left"/>
        </w:trPr>
        <w:tc>
          <w:tcPr>
            <w:tcW w:w="5670"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Місцеві податки та збори</w:t>
            </w:r>
          </w:p>
        </w:tc>
        <w:tc>
          <w:tcPr>
            <w:tcW w:w="19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735</w:t>
            </w:r>
          </w:p>
        </w:tc>
        <w:tc>
          <w:tcPr>
            <w:tcW w:w="1808"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468</w:t>
            </w:r>
          </w:p>
        </w:tc>
      </w:tr>
      <w:tr>
        <w:trPr>
          <w:trHeight w:val="1" w:hRule="atLeast"/>
          <w:jc w:val="left"/>
        </w:trPr>
        <w:tc>
          <w:tcPr>
            <w:tcW w:w="5670"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Військовий збір</w:t>
            </w:r>
          </w:p>
        </w:tc>
        <w:tc>
          <w:tcPr>
            <w:tcW w:w="19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37</w:t>
            </w:r>
          </w:p>
        </w:tc>
        <w:tc>
          <w:tcPr>
            <w:tcW w:w="1808"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35</w:t>
            </w:r>
          </w:p>
        </w:tc>
      </w:tr>
    </w:tbl>
    <w:p>
      <w:pPr>
        <w:spacing w:before="120" w:after="120" w:line="259"/>
        <w:ind w:right="0" w:left="0" w:firstLine="0"/>
        <w:jc w:val="left"/>
        <w:rPr>
          <w:rFonts w:ascii="Times New Roman" w:hAnsi="Times New Roman" w:cs="Times New Roman" w:eastAsia="Times New Roman"/>
          <w:color w:val="000000"/>
          <w:spacing w:val="0"/>
          <w:position w:val="0"/>
          <w:sz w:val="24"/>
          <w:u w:val="single"/>
          <w:shd w:fill="auto" w:val="clear"/>
        </w:rPr>
      </w:pPr>
    </w:p>
    <w:p>
      <w:pPr>
        <w:keepNext w:val="true"/>
        <w:tabs>
          <w:tab w:val="left" w:pos="0" w:leader="none"/>
        </w:tabs>
        <w:spacing w:before="120" w:after="120" w:line="240"/>
        <w:ind w:right="0" w:left="735"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21. </w:t>
      </w:r>
      <w:r>
        <w:rPr>
          <w:rFonts w:ascii="Times New Roman" w:hAnsi="Times New Roman" w:cs="Times New Roman" w:eastAsia="Times New Roman"/>
          <w:b/>
          <w:color w:val="000000"/>
          <w:spacing w:val="0"/>
          <w:position w:val="0"/>
          <w:sz w:val="24"/>
          <w:u w:val="single"/>
          <w:shd w:fill="auto" w:val="clear"/>
        </w:rPr>
        <w:t xml:space="preserve">ГРОШОВІ КОШТИ</w:t>
      </w:r>
    </w:p>
    <w:p>
      <w:pPr>
        <w:keepNext w:val="true"/>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Грошові кошти були представлені наступним чином:</w:t>
      </w:r>
    </w:p>
    <w:tbl>
      <w:tblPr/>
      <w:tblGrid>
        <w:gridCol w:w="6210"/>
        <w:gridCol w:w="1697"/>
        <w:gridCol w:w="1556"/>
      </w:tblGrid>
      <w:tr>
        <w:trPr>
          <w:trHeight w:val="1" w:hRule="atLeast"/>
          <w:jc w:val="left"/>
        </w:trPr>
        <w:tc>
          <w:tcPr>
            <w:tcW w:w="6210" w:type="dxa"/>
            <w:tcBorders>
              <w:top w:val="single" w:color="000000" w:sz="4"/>
              <w:left w:val="single" w:color="000000" w:sz="4"/>
              <w:bottom w:val="single" w:color="000000" w:sz="4"/>
              <w:right w:val="single" w:color="000000" w:sz="0"/>
            </w:tcBorders>
            <w:shd w:color="000000" w:fill="f2f2f2"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Грошові кошти</w:t>
            </w:r>
          </w:p>
        </w:tc>
        <w:tc>
          <w:tcPr>
            <w:tcW w:w="1697"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w:t>
            </w:r>
            <w:r>
              <w:rPr>
                <w:rFonts w:ascii="Times New Roman" w:hAnsi="Times New Roman" w:cs="Times New Roman" w:eastAsia="Times New Roman"/>
                <w:b/>
                <w:color w:val="000000"/>
                <w:spacing w:val="0"/>
                <w:position w:val="0"/>
                <w:sz w:val="22"/>
                <w:u w:val="single"/>
                <w:shd w:fill="auto" w:val="clear"/>
              </w:rPr>
              <w:t xml:space="preserve">грудня 2019 року</w:t>
            </w:r>
          </w:p>
        </w:tc>
        <w:tc>
          <w:tcPr>
            <w:tcW w:w="1556"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w:t>
            </w:r>
            <w:r>
              <w:rPr>
                <w:rFonts w:ascii="Times New Roman" w:hAnsi="Times New Roman" w:cs="Times New Roman" w:eastAsia="Times New Roman"/>
                <w:b/>
                <w:color w:val="000000"/>
                <w:spacing w:val="0"/>
                <w:position w:val="0"/>
                <w:sz w:val="22"/>
                <w:u w:val="single"/>
                <w:shd w:fill="auto" w:val="clear"/>
              </w:rPr>
              <w:t xml:space="preserve">грудня 2020 року</w:t>
            </w:r>
          </w:p>
        </w:tc>
      </w:tr>
      <w:tr>
        <w:trPr>
          <w:trHeight w:val="1" w:hRule="atLeast"/>
          <w:jc w:val="left"/>
        </w:trPr>
        <w:tc>
          <w:tcPr>
            <w:tcW w:w="6210"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Грошові кошти в національній валюті на поточних рахунках</w:t>
            </w:r>
          </w:p>
        </w:tc>
        <w:tc>
          <w:tcPr>
            <w:tcW w:w="1697"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3 885</w:t>
            </w:r>
          </w:p>
        </w:tc>
        <w:tc>
          <w:tcPr>
            <w:tcW w:w="1556"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3 316</w:t>
            </w:r>
          </w:p>
        </w:tc>
      </w:tr>
      <w:tr>
        <w:trPr>
          <w:trHeight w:val="1" w:hRule="atLeast"/>
          <w:jc w:val="left"/>
        </w:trPr>
        <w:tc>
          <w:tcPr>
            <w:tcW w:w="6210"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Грошові кошти в іноземній валюті на поточних рахунках</w:t>
            </w:r>
          </w:p>
        </w:tc>
        <w:tc>
          <w:tcPr>
            <w:tcW w:w="1697"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13 826</w:t>
            </w:r>
          </w:p>
        </w:tc>
        <w:tc>
          <w:tcPr>
            <w:tcW w:w="1556"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17 167</w:t>
            </w:r>
          </w:p>
        </w:tc>
      </w:tr>
      <w:tr>
        <w:trPr>
          <w:trHeight w:val="1" w:hRule="atLeast"/>
          <w:jc w:val="left"/>
        </w:trPr>
        <w:tc>
          <w:tcPr>
            <w:tcW w:w="6210"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1697"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17 711</w:t>
            </w:r>
          </w:p>
        </w:tc>
        <w:tc>
          <w:tcPr>
            <w:tcW w:w="1556"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20 483</w:t>
            </w:r>
          </w:p>
        </w:tc>
      </w:tr>
    </w:tbl>
    <w:p>
      <w:pPr>
        <w:keepNext w:val="true"/>
        <w:tabs>
          <w:tab w:val="left" w:pos="0" w:leader="none"/>
        </w:tabs>
        <w:spacing w:before="120" w:after="120" w:line="240"/>
        <w:ind w:right="0" w:left="735" w:firstLine="0"/>
        <w:jc w:val="left"/>
        <w:rPr>
          <w:rFonts w:ascii="Times New Roman" w:hAnsi="Times New Roman" w:cs="Times New Roman" w:eastAsia="Times New Roman"/>
          <w:color w:val="000000"/>
          <w:spacing w:val="0"/>
          <w:position w:val="0"/>
          <w:sz w:val="24"/>
          <w:u w:val="single"/>
          <w:shd w:fill="auto" w:val="clear"/>
        </w:rPr>
      </w:pPr>
    </w:p>
    <w:p>
      <w:pPr>
        <w:keepNext w:val="true"/>
        <w:tabs>
          <w:tab w:val="left" w:pos="0" w:leader="none"/>
        </w:tabs>
        <w:spacing w:before="120" w:after="120" w:line="240"/>
        <w:ind w:right="0" w:left="735"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22. </w:t>
      </w:r>
      <w:r>
        <w:rPr>
          <w:rFonts w:ascii="Times New Roman" w:hAnsi="Times New Roman" w:cs="Times New Roman" w:eastAsia="Times New Roman"/>
          <w:b/>
          <w:color w:val="000000"/>
          <w:spacing w:val="0"/>
          <w:position w:val="0"/>
          <w:sz w:val="24"/>
          <w:u w:val="single"/>
          <w:shd w:fill="auto" w:val="clear"/>
        </w:rPr>
        <w:t xml:space="preserve">КАПІТАЛ, ЯКИЙ БУЛО ВИПУЩЕНО</w:t>
      </w:r>
    </w:p>
    <w:p>
      <w:pPr>
        <w:spacing w:before="120" w:after="120" w:line="259"/>
        <w:ind w:right="0" w:left="30" w:firstLine="0"/>
        <w:jc w:val="both"/>
        <w:rPr>
          <w:rFonts w:ascii="Times New Roman" w:hAnsi="Times New Roman" w:cs="Times New Roman" w:eastAsia="Times New Roman"/>
          <w:color w:val="000000"/>
          <w:spacing w:val="0"/>
          <w:position w:val="0"/>
          <w:sz w:val="24"/>
          <w:u w:val="single"/>
          <w:shd w:fill="FFFFFF" w:val="clear"/>
        </w:rPr>
      </w:pPr>
      <w:r>
        <w:rPr>
          <w:rFonts w:ascii="Times New Roman" w:hAnsi="Times New Roman" w:cs="Times New Roman" w:eastAsia="Times New Roman"/>
          <w:color w:val="000000"/>
          <w:spacing w:val="0"/>
          <w:position w:val="0"/>
          <w:sz w:val="24"/>
          <w:u w:val="single"/>
          <w:shd w:fill="FFFFFF" w:val="clear"/>
        </w:rPr>
        <w:tab/>
      </w:r>
      <w:r>
        <w:rPr>
          <w:rFonts w:ascii="Times New Roman" w:hAnsi="Times New Roman" w:cs="Times New Roman" w:eastAsia="Times New Roman"/>
          <w:color w:val="000000"/>
          <w:spacing w:val="0"/>
          <w:position w:val="0"/>
          <w:sz w:val="24"/>
          <w:u w:val="single"/>
          <w:shd w:fill="FFFFFF" w:val="clear"/>
        </w:rPr>
        <w:t xml:space="preserve">Станом на 31 грудня 2020 року статутний капітал Товариства становив 5 910 535,75 грн., розділений на 23 642 143 простих іменних акцій номінальною вартістю 0,25 грн.  кожна. </w:t>
      </w:r>
    </w:p>
    <w:p>
      <w:pPr>
        <w:spacing w:before="120" w:after="120" w:line="259"/>
        <w:ind w:right="0" w:left="30" w:firstLine="0"/>
        <w:jc w:val="both"/>
        <w:rPr>
          <w:rFonts w:ascii="Times New Roman" w:hAnsi="Times New Roman" w:cs="Times New Roman" w:eastAsia="Times New Roman"/>
          <w:color w:val="000000"/>
          <w:spacing w:val="0"/>
          <w:position w:val="0"/>
          <w:sz w:val="24"/>
          <w:u w:val="single"/>
          <w:shd w:fill="FFFFFF" w:val="clear"/>
        </w:rPr>
      </w:pPr>
      <w:r>
        <w:rPr>
          <w:rFonts w:ascii="Times New Roman" w:hAnsi="Times New Roman" w:cs="Times New Roman" w:eastAsia="Times New Roman"/>
          <w:color w:val="000000"/>
          <w:spacing w:val="0"/>
          <w:position w:val="0"/>
          <w:sz w:val="24"/>
          <w:u w:val="single"/>
          <w:shd w:fill="FFFFFF" w:val="clear"/>
        </w:rPr>
        <w:tab/>
      </w:r>
      <w:r>
        <w:rPr>
          <w:rFonts w:ascii="Times New Roman" w:hAnsi="Times New Roman" w:cs="Times New Roman" w:eastAsia="Times New Roman"/>
          <w:color w:val="000000"/>
          <w:spacing w:val="0"/>
          <w:position w:val="0"/>
          <w:sz w:val="24"/>
          <w:u w:val="single"/>
          <w:shd w:fill="FFFFFF" w:val="clear"/>
        </w:rPr>
        <w:t xml:space="preserve">Станом на 31 грудня 2020 року найбільшою часткою акцій ПРАТ </w:t>
      </w:r>
      <w:r>
        <w:rPr>
          <w:rFonts w:ascii="Times New Roman" w:hAnsi="Times New Roman" w:cs="Times New Roman" w:eastAsia="Times New Roman"/>
          <w:color w:val="000000"/>
          <w:spacing w:val="0"/>
          <w:position w:val="0"/>
          <w:sz w:val="24"/>
          <w:u w:val="single"/>
          <w:shd w:fill="FFFFFF" w:val="clear"/>
        </w:rPr>
        <w:t xml:space="preserve">„</w:t>
      </w:r>
      <w:r>
        <w:rPr>
          <w:rFonts w:ascii="Times New Roman" w:hAnsi="Times New Roman" w:cs="Times New Roman" w:eastAsia="Times New Roman"/>
          <w:color w:val="000000"/>
          <w:spacing w:val="0"/>
          <w:position w:val="0"/>
          <w:sz w:val="24"/>
          <w:u w:val="single"/>
          <w:shd w:fill="FFFFFF" w:val="clear"/>
        </w:rPr>
        <w:t xml:space="preserve">Ватутінський комбінат вогнетривів” володіє Компанія “Imerys Refractori Minerals Clerac” (Франція): 21 132 722 акцій, що складає 89,3858 відсотків від загальної кількості акцій. Інші юридичні і фізичні особи володіють 2 509 421 акцій, що складає 10,6142 відсотків від загальної кількості акцій.</w:t>
      </w:r>
    </w:p>
    <w:p>
      <w:pPr>
        <w:spacing w:before="120" w:after="120" w:line="259"/>
        <w:ind w:right="0" w:left="30" w:firstLine="675"/>
        <w:jc w:val="both"/>
        <w:rPr>
          <w:rFonts w:ascii="Times New Roman" w:hAnsi="Times New Roman" w:cs="Times New Roman" w:eastAsia="Times New Roman"/>
          <w:color w:val="000000"/>
          <w:spacing w:val="0"/>
          <w:position w:val="0"/>
          <w:sz w:val="24"/>
          <w:u w:val="single"/>
          <w:shd w:fill="FFFFFF" w:val="clear"/>
        </w:rPr>
      </w:pPr>
      <w:r>
        <w:rPr>
          <w:rFonts w:ascii="Times New Roman" w:hAnsi="Times New Roman" w:cs="Times New Roman" w:eastAsia="Times New Roman"/>
          <w:color w:val="000000"/>
          <w:spacing w:val="0"/>
          <w:position w:val="0"/>
          <w:sz w:val="24"/>
          <w:u w:val="single"/>
          <w:shd w:fill="FFFFFF" w:val="clear"/>
        </w:rPr>
        <w:t xml:space="preserve">У 2020 році не відбувалося змін щодо статутного капіталу Товариства.</w:t>
      </w:r>
    </w:p>
    <w:p>
      <w:pPr>
        <w:keepNext w:val="true"/>
        <w:tabs>
          <w:tab w:val="left" w:pos="0" w:leader="none"/>
        </w:tabs>
        <w:spacing w:before="120" w:after="120" w:line="240"/>
        <w:ind w:right="0" w:left="705"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23. </w:t>
      </w:r>
      <w:r>
        <w:rPr>
          <w:rFonts w:ascii="Times New Roman" w:hAnsi="Times New Roman" w:cs="Times New Roman" w:eastAsia="Times New Roman"/>
          <w:b/>
          <w:color w:val="000000"/>
          <w:spacing w:val="0"/>
          <w:position w:val="0"/>
          <w:sz w:val="24"/>
          <w:u w:val="single"/>
          <w:shd w:fill="auto" w:val="clear"/>
        </w:rPr>
        <w:t xml:space="preserve">ПОЗИКИ</w:t>
      </w:r>
    </w:p>
    <w:p>
      <w:pPr>
        <w:spacing w:before="120" w:after="120" w:line="259"/>
        <w:ind w:right="0" w:left="45" w:firstLine="66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Станом на 31 грудня 2020 року Товариство має зобов'язання за позикою перед нерезидентом - Компанією IMERYS (Франція) в розмірі 9 111 тис. євро, із них 2 172 тис. євро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довгострокова заборгованість, 6 939 тис. євро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підлягає погашенню наприкінці 2021 року. За курсом НБУ на дату складання фінансової звітності заборгованість за позикою складає 316 513 тис. грн. У фінансовій звітності заборгованість за позикою відображена за амортизованою вартістю - 291 895 тис. грн., в тому числі у довгострокових зобов'язаннях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69 879 </w:t>
      </w:r>
      <w:r>
        <w:rPr>
          <w:rFonts w:ascii="Times New Roman" w:hAnsi="Times New Roman" w:cs="Times New Roman" w:eastAsia="Times New Roman"/>
          <w:color w:val="000000"/>
          <w:spacing w:val="0"/>
          <w:position w:val="0"/>
          <w:sz w:val="24"/>
          <w:u w:val="single"/>
          <w:shd w:fill="auto" w:val="clear"/>
        </w:rPr>
        <w:t xml:space="preserve">тис. грн., у короткострокових зобов'язаннях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222 016 </w:t>
      </w:r>
      <w:r>
        <w:rPr>
          <w:rFonts w:ascii="Times New Roman" w:hAnsi="Times New Roman" w:cs="Times New Roman" w:eastAsia="Times New Roman"/>
          <w:color w:val="000000"/>
          <w:spacing w:val="0"/>
          <w:position w:val="0"/>
          <w:sz w:val="24"/>
          <w:u w:val="single"/>
          <w:shd w:fill="auto" w:val="clear"/>
        </w:rPr>
        <w:t xml:space="preserve">тис. грн.</w:t>
      </w:r>
    </w:p>
    <w:p>
      <w:pPr>
        <w:spacing w:before="120" w:after="120" w:line="259"/>
        <w:ind w:right="0" w:left="45" w:firstLine="66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24. </w:t>
      </w:r>
      <w:r>
        <w:rPr>
          <w:rFonts w:ascii="Times New Roman" w:hAnsi="Times New Roman" w:cs="Times New Roman" w:eastAsia="Times New Roman"/>
          <w:b/>
          <w:color w:val="000000"/>
          <w:spacing w:val="0"/>
          <w:position w:val="0"/>
          <w:sz w:val="24"/>
          <w:u w:val="single"/>
          <w:shd w:fill="auto" w:val="clear"/>
        </w:rPr>
        <w:t xml:space="preserve">ДОВГОСТРОКОВІ ЗАБЕЗПЕЧЕННЯ</w:t>
      </w:r>
    </w:p>
    <w:p>
      <w:pPr>
        <w:spacing w:before="120" w:after="120" w:line="259"/>
        <w:ind w:right="0" w:left="45" w:firstLine="66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Товариство створює довгострокові забезпечення на відновлення земельних ділянок Новоселицького каолінового кар'єру, південної та північної ділянок Мурзинського каолінового кар'єру.</w:t>
      </w:r>
    </w:p>
    <w:tbl>
      <w:tblPr/>
      <w:tblGrid>
        <w:gridCol w:w="6096"/>
        <w:gridCol w:w="1701"/>
        <w:gridCol w:w="1701"/>
      </w:tblGrid>
      <w:tr>
        <w:trPr>
          <w:trHeight w:val="1" w:hRule="atLeast"/>
          <w:jc w:val="left"/>
        </w:trPr>
        <w:tc>
          <w:tcPr>
            <w:tcW w:w="6096" w:type="dxa"/>
            <w:tcBorders>
              <w:top w:val="single" w:color="000000" w:sz="4"/>
              <w:left w:val="single" w:color="000000" w:sz="4"/>
              <w:bottom w:val="single" w:color="000000" w:sz="4"/>
              <w:right w:val="single" w:color="000000" w:sz="0"/>
            </w:tcBorders>
            <w:shd w:color="000000" w:fill="f2f2f2"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Довгострокові забезпечення</w:t>
            </w:r>
          </w:p>
        </w:tc>
        <w:tc>
          <w:tcPr>
            <w:tcW w:w="1701"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w:t>
            </w:r>
            <w:r>
              <w:rPr>
                <w:rFonts w:ascii="Times New Roman" w:hAnsi="Times New Roman" w:cs="Times New Roman" w:eastAsia="Times New Roman"/>
                <w:b/>
                <w:color w:val="000000"/>
                <w:spacing w:val="0"/>
                <w:position w:val="0"/>
                <w:sz w:val="22"/>
                <w:u w:val="single"/>
                <w:shd w:fill="auto" w:val="clear"/>
              </w:rPr>
              <w:t xml:space="preserve">грудня 2019 року</w:t>
            </w:r>
          </w:p>
        </w:tc>
        <w:tc>
          <w:tcPr>
            <w:tcW w:w="1701"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w:t>
            </w:r>
            <w:r>
              <w:rPr>
                <w:rFonts w:ascii="Times New Roman" w:hAnsi="Times New Roman" w:cs="Times New Roman" w:eastAsia="Times New Roman"/>
                <w:b/>
                <w:color w:val="000000"/>
                <w:spacing w:val="0"/>
                <w:position w:val="0"/>
                <w:sz w:val="22"/>
                <w:u w:val="single"/>
                <w:shd w:fill="auto" w:val="clear"/>
              </w:rPr>
              <w:t xml:space="preserve">грудня 2020 року</w:t>
            </w:r>
          </w:p>
        </w:tc>
      </w:tr>
      <w:tr>
        <w:trPr>
          <w:trHeight w:val="1" w:hRule="atLeast"/>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забезпечення на відновлення земельних ділянок НКК</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7 953</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11 086</w:t>
            </w:r>
          </w:p>
        </w:tc>
      </w:tr>
      <w:tr>
        <w:trPr>
          <w:trHeight w:val="1" w:hRule="atLeast"/>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забезпечення на відновлення земельних ділянок південної ділянки МКК</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578</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578</w:t>
            </w:r>
          </w:p>
        </w:tc>
      </w:tr>
      <w:tr>
        <w:trPr>
          <w:trHeight w:val="1" w:hRule="atLeast"/>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забезпечення на відновлення земельних ділянок північної ділянки МКК</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19 579</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33 069</w:t>
            </w:r>
          </w:p>
        </w:tc>
      </w:tr>
      <w:tr>
        <w:trPr>
          <w:trHeight w:val="1" w:hRule="atLeast"/>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28 110</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44 733</w:t>
              <w:tab/>
            </w:r>
          </w:p>
        </w:tc>
      </w:tr>
    </w:tbl>
    <w:p>
      <w:pPr>
        <w:spacing w:before="120" w:after="120" w:line="259"/>
        <w:ind w:right="0" w:left="45" w:firstLine="664"/>
        <w:jc w:val="both"/>
        <w:rPr>
          <w:rFonts w:ascii="Times New Roman" w:hAnsi="Times New Roman" w:cs="Times New Roman" w:eastAsia="Times New Roman"/>
          <w:color w:val="000000"/>
          <w:spacing w:val="0"/>
          <w:position w:val="0"/>
          <w:sz w:val="24"/>
          <w:u w:val="single"/>
          <w:shd w:fill="auto" w:val="clear"/>
        </w:rPr>
      </w:pPr>
    </w:p>
    <w:p>
      <w:pPr>
        <w:spacing w:before="120" w:after="120" w:line="259"/>
        <w:ind w:right="0" w:left="45" w:firstLine="664"/>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25. </w:t>
      </w:r>
      <w:r>
        <w:rPr>
          <w:rFonts w:ascii="Times New Roman" w:hAnsi="Times New Roman" w:cs="Times New Roman" w:eastAsia="Times New Roman"/>
          <w:b/>
          <w:color w:val="000000"/>
          <w:spacing w:val="0"/>
          <w:position w:val="0"/>
          <w:sz w:val="24"/>
          <w:u w:val="single"/>
          <w:shd w:fill="auto" w:val="clear"/>
        </w:rPr>
        <w:t xml:space="preserve">ТОРГОВЕЛЬНА ТА ІНША КРЕДИТОРСЬКА ЗАБОРГОВАНІСТЬ</w:t>
      </w:r>
    </w:p>
    <w:p>
      <w:pPr>
        <w:spacing w:before="12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Торгівельна та інша кредиторська заборгованість були представлені наступним чином:</w:t>
      </w:r>
    </w:p>
    <w:tbl>
      <w:tblPr/>
      <w:tblGrid>
        <w:gridCol w:w="6096"/>
        <w:gridCol w:w="1701"/>
        <w:gridCol w:w="1701"/>
      </w:tblGrid>
      <w:tr>
        <w:trPr>
          <w:trHeight w:val="1" w:hRule="atLeast"/>
          <w:jc w:val="left"/>
        </w:trPr>
        <w:tc>
          <w:tcPr>
            <w:tcW w:w="6096" w:type="dxa"/>
            <w:tcBorders>
              <w:top w:val="single" w:color="000000" w:sz="4"/>
              <w:left w:val="single" w:color="000000" w:sz="4"/>
              <w:bottom w:val="single" w:color="000000" w:sz="4"/>
              <w:right w:val="single" w:color="000000" w:sz="0"/>
            </w:tcBorders>
            <w:shd w:color="000000" w:fill="f2f2f2"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Кредиторська заборгованість</w:t>
            </w:r>
          </w:p>
        </w:tc>
        <w:tc>
          <w:tcPr>
            <w:tcW w:w="1701"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w:t>
            </w:r>
            <w:r>
              <w:rPr>
                <w:rFonts w:ascii="Times New Roman" w:hAnsi="Times New Roman" w:cs="Times New Roman" w:eastAsia="Times New Roman"/>
                <w:b/>
                <w:color w:val="000000"/>
                <w:spacing w:val="0"/>
                <w:position w:val="0"/>
                <w:sz w:val="22"/>
                <w:u w:val="single"/>
                <w:shd w:fill="auto" w:val="clear"/>
              </w:rPr>
              <w:t xml:space="preserve">грудня 2019 року</w:t>
            </w:r>
          </w:p>
        </w:tc>
        <w:tc>
          <w:tcPr>
            <w:tcW w:w="1701"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w:t>
            </w:r>
            <w:r>
              <w:rPr>
                <w:rFonts w:ascii="Times New Roman" w:hAnsi="Times New Roman" w:cs="Times New Roman" w:eastAsia="Times New Roman"/>
                <w:b/>
                <w:color w:val="000000"/>
                <w:spacing w:val="0"/>
                <w:position w:val="0"/>
                <w:sz w:val="22"/>
                <w:u w:val="single"/>
                <w:shd w:fill="auto" w:val="clear"/>
              </w:rPr>
              <w:t xml:space="preserve">грудня 2020 року</w:t>
            </w:r>
          </w:p>
        </w:tc>
      </w:tr>
      <w:tr>
        <w:trPr>
          <w:trHeight w:val="1" w:hRule="atLeast"/>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Заборгованість постачальникам за сировину, матеріали, послуги</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26 289</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24 538</w:t>
            </w:r>
          </w:p>
        </w:tc>
      </w:tr>
      <w:tr>
        <w:trPr>
          <w:trHeight w:val="1" w:hRule="atLeast"/>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Інша кредиторська заборгованість</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21 574</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32 844</w:t>
            </w:r>
          </w:p>
        </w:tc>
      </w:tr>
      <w:tr>
        <w:trPr>
          <w:trHeight w:val="1" w:hRule="atLeast"/>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47 863</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57 382</w:t>
            </w:r>
          </w:p>
        </w:tc>
      </w:tr>
    </w:tbl>
    <w:p>
      <w:pPr>
        <w:keepNext w:val="true"/>
        <w:tabs>
          <w:tab w:val="left" w:pos="0" w:leader="none"/>
        </w:tabs>
        <w:spacing w:before="120" w:after="120" w:line="240"/>
        <w:ind w:right="0" w:left="0" w:firstLine="0"/>
        <w:jc w:val="both"/>
        <w:rPr>
          <w:rFonts w:ascii="Times New Roman" w:hAnsi="Times New Roman" w:cs="Times New Roman" w:eastAsia="Times New Roman"/>
          <w:color w:val="000000"/>
          <w:spacing w:val="0"/>
          <w:position w:val="0"/>
          <w:sz w:val="24"/>
          <w:u w:val="single"/>
          <w:shd w:fill="auto" w:val="clear"/>
        </w:rPr>
      </w:pPr>
    </w:p>
    <w:p>
      <w:pPr>
        <w:keepNext w:val="true"/>
        <w:tabs>
          <w:tab w:val="left" w:pos="0" w:leader="none"/>
        </w:tabs>
        <w:spacing w:before="120" w:after="120" w:line="240"/>
        <w:ind w:right="0" w:left="75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26. </w:t>
      </w:r>
      <w:r>
        <w:rPr>
          <w:rFonts w:ascii="Times New Roman" w:hAnsi="Times New Roman" w:cs="Times New Roman" w:eastAsia="Times New Roman"/>
          <w:b/>
          <w:color w:val="000000"/>
          <w:spacing w:val="0"/>
          <w:position w:val="0"/>
          <w:sz w:val="24"/>
          <w:u w:val="single"/>
          <w:shd w:fill="auto" w:val="clear"/>
        </w:rPr>
        <w:t xml:space="preserve">ПЕРЕДПЛАТИ ОТРИМАНІ ТА ІНШІ КОРОТКОСТРОКОВІ ЗОБОВ’ЯЗАННЯ </w:t>
      </w:r>
    </w:p>
    <w:p>
      <w:pPr>
        <w:spacing w:before="120" w:after="120" w:line="259"/>
        <w:ind w:right="0" w:left="3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Передплати отримані та інші короткострокові зобов’язання були представлені наступним чином:</w:t>
      </w:r>
    </w:p>
    <w:tbl>
      <w:tblPr/>
      <w:tblGrid>
        <w:gridCol w:w="6096"/>
        <w:gridCol w:w="1701"/>
        <w:gridCol w:w="1701"/>
      </w:tblGrid>
      <w:tr>
        <w:trPr>
          <w:trHeight w:val="1" w:hRule="atLeast"/>
          <w:jc w:val="left"/>
        </w:trPr>
        <w:tc>
          <w:tcPr>
            <w:tcW w:w="6096" w:type="dxa"/>
            <w:tcBorders>
              <w:top w:val="single" w:color="000000" w:sz="4"/>
              <w:left w:val="single" w:color="000000" w:sz="4"/>
              <w:bottom w:val="single" w:color="000000" w:sz="4"/>
              <w:right w:val="single" w:color="000000" w:sz="0"/>
            </w:tcBorders>
            <w:shd w:color="000000" w:fill="f2f2f2" w:val="clear"/>
            <w:tcMar>
              <w:left w:w="108" w:type="dxa"/>
              <w:right w:w="108" w:type="dxa"/>
            </w:tcMar>
            <w:vAlign w:val="top"/>
          </w:tcPr>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Кредиторська заборгованість</w:t>
            </w:r>
          </w:p>
        </w:tc>
        <w:tc>
          <w:tcPr>
            <w:tcW w:w="1701"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w:t>
            </w:r>
            <w:r>
              <w:rPr>
                <w:rFonts w:ascii="Times New Roman" w:hAnsi="Times New Roman" w:cs="Times New Roman" w:eastAsia="Times New Roman"/>
                <w:b/>
                <w:color w:val="000000"/>
                <w:spacing w:val="0"/>
                <w:position w:val="0"/>
                <w:sz w:val="22"/>
                <w:u w:val="single"/>
                <w:shd w:fill="auto" w:val="clear"/>
              </w:rPr>
              <w:t xml:space="preserve">грудня 2019 року</w:t>
            </w:r>
          </w:p>
        </w:tc>
        <w:tc>
          <w:tcPr>
            <w:tcW w:w="1701"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center"/>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w:t>
            </w:r>
            <w:r>
              <w:rPr>
                <w:rFonts w:ascii="Times New Roman" w:hAnsi="Times New Roman" w:cs="Times New Roman" w:eastAsia="Times New Roman"/>
                <w:b/>
                <w:color w:val="000000"/>
                <w:spacing w:val="0"/>
                <w:position w:val="0"/>
                <w:sz w:val="22"/>
                <w:u w:val="single"/>
                <w:shd w:fill="auto" w:val="clear"/>
              </w:rPr>
              <w:t xml:space="preserve">грудня 2020 року</w:t>
            </w:r>
          </w:p>
        </w:tc>
      </w:tr>
      <w:tr>
        <w:trPr>
          <w:trHeight w:val="1" w:hRule="atLeast"/>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Передплати отримані</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5 638</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14 753</w:t>
            </w:r>
          </w:p>
        </w:tc>
      </w:tr>
      <w:tr>
        <w:trPr>
          <w:trHeight w:val="1" w:hRule="atLeast"/>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Кредиторська заборгованість перед бюджетом</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1 223</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904</w:t>
            </w:r>
          </w:p>
        </w:tc>
      </w:tr>
      <w:tr>
        <w:trPr>
          <w:trHeight w:val="1" w:hRule="atLeast"/>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Кредиторська заборгованість по страхуванню</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468</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440</w:t>
            </w:r>
          </w:p>
        </w:tc>
      </w:tr>
      <w:tr>
        <w:trPr>
          <w:trHeight w:val="1" w:hRule="atLeast"/>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Кредиторська заборгованість по заробітній платі</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1 930</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1 848</w:t>
            </w:r>
          </w:p>
        </w:tc>
      </w:tr>
      <w:tr>
        <w:trPr>
          <w:trHeight w:val="1" w:hRule="atLeast"/>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Поточні забезпечення, в тому числі:</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6 677</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7 273</w:t>
            </w:r>
          </w:p>
        </w:tc>
      </w:tr>
      <w:tr>
        <w:trPr>
          <w:trHeight w:val="1" w:hRule="atLeast"/>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забезпечення на оплату відпусток</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5 090</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2 754</w:t>
            </w:r>
          </w:p>
        </w:tc>
      </w:tr>
      <w:tr>
        <w:trPr>
          <w:trHeight w:val="630" w:hRule="auto"/>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забезпечення на виплату премій</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1 218</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2 252</w:t>
            </w:r>
          </w:p>
        </w:tc>
      </w:tr>
      <w:tr>
        <w:trPr>
          <w:trHeight w:val="1" w:hRule="atLeast"/>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забезпечення під судові позови</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1 957</w:t>
            </w:r>
          </w:p>
        </w:tc>
      </w:tr>
      <w:tr>
        <w:trPr>
          <w:trHeight w:val="1" w:hRule="atLeast"/>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Забезпечення інші</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369</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310</w:t>
            </w:r>
          </w:p>
        </w:tc>
      </w:tr>
      <w:tr>
        <w:trPr>
          <w:trHeight w:val="1" w:hRule="atLeast"/>
          <w:jc w:val="left"/>
        </w:trPr>
        <w:tc>
          <w:tcPr>
            <w:tcW w:w="6096" w:type="dxa"/>
            <w:tcBorders>
              <w:top w:val="single" w:color="000000" w:sz="0"/>
              <w:left w:val="single" w:color="000000" w:sz="4"/>
              <w:bottom w:val="single" w:color="000000" w:sz="4"/>
              <w:right w:val="single" w:color="000000" w:sz="0"/>
            </w:tcBorders>
            <w:shd w:color="000000" w:fill="auto"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1701"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15 936</w:t>
            </w:r>
          </w:p>
        </w:tc>
        <w:tc>
          <w:tcPr>
            <w:tcW w:w="1701" w:type="dxa"/>
            <w:tcBorders>
              <w:top w:val="single" w:color="000000" w:sz="0"/>
              <w:left w:val="single" w:color="000000" w:sz="4"/>
              <w:bottom w:val="single" w:color="000000" w:sz="4"/>
              <w:right w:val="single" w:color="000000" w:sz="4"/>
            </w:tcBorders>
            <w:shd w:color="000000" w:fill="auto" w:val="clear"/>
            <w:tcMar>
              <w:left w:w="108" w:type="dxa"/>
              <w:right w:w="108" w:type="dxa"/>
            </w:tcMar>
            <w:vAlign w:val="top"/>
          </w:tcPr>
          <w:p>
            <w:pPr>
              <w:spacing w:before="120" w:after="120" w:line="259"/>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22 951</w:t>
            </w:r>
          </w:p>
        </w:tc>
      </w:tr>
    </w:tbl>
    <w:p>
      <w:pPr>
        <w:keepNext w:val="true"/>
        <w:tabs>
          <w:tab w:val="left" w:pos="0" w:leader="none"/>
        </w:tabs>
        <w:spacing w:before="0" w:after="120" w:line="259"/>
        <w:ind w:right="0" w:left="735" w:firstLine="0"/>
        <w:jc w:val="left"/>
        <w:rPr>
          <w:rFonts w:ascii="Times New Roman" w:hAnsi="Times New Roman" w:cs="Times New Roman" w:eastAsia="Times New Roman"/>
          <w:color w:val="000000"/>
          <w:spacing w:val="0"/>
          <w:position w:val="0"/>
          <w:sz w:val="24"/>
          <w:u w:val="single"/>
          <w:shd w:fill="auto" w:val="clear"/>
        </w:rPr>
      </w:pPr>
    </w:p>
    <w:p>
      <w:pPr>
        <w:keepNext w:val="true"/>
        <w:tabs>
          <w:tab w:val="left" w:pos="0" w:leader="none"/>
        </w:tabs>
        <w:spacing w:before="0" w:after="120" w:line="259"/>
        <w:ind w:right="0" w:left="735"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27. </w:t>
      </w:r>
      <w:r>
        <w:rPr>
          <w:rFonts w:ascii="Times New Roman" w:hAnsi="Times New Roman" w:cs="Times New Roman" w:eastAsia="Times New Roman"/>
          <w:b/>
          <w:color w:val="000000"/>
          <w:spacing w:val="0"/>
          <w:position w:val="0"/>
          <w:sz w:val="24"/>
          <w:u w:val="single"/>
          <w:shd w:fill="auto" w:val="clear"/>
        </w:rPr>
        <w:t xml:space="preserve">ІНФОРМАЦІЯ ЗА СЕГМЕНТАМИ</w:t>
      </w:r>
    </w:p>
    <w:p>
      <w:pPr>
        <w:spacing w:before="0" w:after="120" w:line="259"/>
        <w:ind w:right="0" w:left="15"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Інформація про доходи, витрати, активи і зобов'язання сегментів представлена в розрізі збуту продукції Товариства в Україні та на експорт за рік, що закінчився 31 грудня 2019 року. </w:t>
        <w:tab/>
      </w:r>
    </w:p>
    <w:tbl>
      <w:tblPr/>
      <w:tblGrid>
        <w:gridCol w:w="3605"/>
        <w:gridCol w:w="1388"/>
        <w:gridCol w:w="1528"/>
        <w:gridCol w:w="1588"/>
        <w:gridCol w:w="1300"/>
      </w:tblGrid>
      <w:tr>
        <w:trPr>
          <w:trHeight w:val="1" w:hRule="atLeast"/>
          <w:jc w:val="left"/>
        </w:trPr>
        <w:tc>
          <w:tcPr>
            <w:tcW w:w="3605"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15" w:firstLine="0"/>
              <w:jc w:val="both"/>
              <w:rPr>
                <w:rFonts w:ascii="Calibri" w:hAnsi="Calibri" w:cs="Calibri" w:eastAsia="Calibri"/>
                <w:color w:val="auto"/>
                <w:spacing w:val="0"/>
                <w:position w:val="0"/>
                <w:sz w:val="22"/>
                <w:shd w:fill="auto" w:val="clear"/>
              </w:rPr>
            </w:pPr>
          </w:p>
        </w:tc>
        <w:tc>
          <w:tcPr>
            <w:tcW w:w="1388"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15" w:firstLine="0"/>
              <w:jc w:val="both"/>
              <w:rPr>
                <w:rFonts w:ascii="Times New Roman" w:hAnsi="Times New Roman" w:cs="Times New Roman" w:eastAsia="Times New Roman"/>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Сегмент 1</w:t>
            </w:r>
          </w:p>
          <w:p>
            <w:pPr>
              <w:spacing w:before="120" w:after="120" w:line="259"/>
              <w:ind w:right="0" w:left="15"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Україна</w:t>
            </w:r>
          </w:p>
        </w:tc>
        <w:tc>
          <w:tcPr>
            <w:tcW w:w="1528"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15" w:firstLine="0"/>
              <w:jc w:val="both"/>
              <w:rPr>
                <w:rFonts w:ascii="Times New Roman" w:hAnsi="Times New Roman" w:cs="Times New Roman" w:eastAsia="Times New Roman"/>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Сегмент 2</w:t>
            </w:r>
          </w:p>
          <w:p>
            <w:pPr>
              <w:spacing w:before="120" w:after="120" w:line="259"/>
              <w:ind w:right="0" w:left="15"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Зарубіжжя</w:t>
            </w:r>
          </w:p>
        </w:tc>
        <w:tc>
          <w:tcPr>
            <w:tcW w:w="1588" w:type="dxa"/>
            <w:tcBorders>
              <w:top w:val="single" w:color="000000" w:sz="4"/>
              <w:left w:val="single" w:color="000000" w:sz="4"/>
              <w:bottom w:val="single" w:color="000000" w:sz="4"/>
              <w:right w:val="single" w:color="000000" w:sz="0"/>
            </w:tcBorders>
            <w:shd w:color="000000" w:fill="f2f2f2" w:val="clear"/>
            <w:tcMar>
              <w:left w:w="54" w:type="dxa"/>
              <w:right w:w="54" w:type="dxa"/>
            </w:tcMar>
            <w:vAlign w:val="top"/>
          </w:tcPr>
          <w:p>
            <w:pPr>
              <w:spacing w:before="120" w:after="120" w:line="259"/>
              <w:ind w:right="0" w:left="15"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Нерозподілені суми</w:t>
            </w:r>
          </w:p>
        </w:tc>
        <w:tc>
          <w:tcPr>
            <w:tcW w:w="1300" w:type="dxa"/>
            <w:tcBorders>
              <w:top w:val="single" w:color="000000" w:sz="4"/>
              <w:left w:val="single" w:color="000000" w:sz="4"/>
              <w:bottom w:val="single" w:color="000000" w:sz="4"/>
              <w:right w:val="single" w:color="000000" w:sz="4"/>
            </w:tcBorders>
            <w:shd w:color="000000" w:fill="f2f2f2" w:val="clear"/>
            <w:tcMar>
              <w:left w:w="54" w:type="dxa"/>
              <w:right w:w="54" w:type="dxa"/>
            </w:tcMar>
            <w:vAlign w:val="top"/>
          </w:tcPr>
          <w:p>
            <w:pPr>
              <w:spacing w:before="120" w:after="120" w:line="259"/>
              <w:ind w:right="0" w:left="15"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r>
      <w:tr>
        <w:trPr>
          <w:trHeight w:val="1" w:hRule="atLeast"/>
          <w:jc w:val="left"/>
        </w:trPr>
        <w:tc>
          <w:tcPr>
            <w:tcW w:w="3605"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Дохід від реалізації</w:t>
            </w:r>
          </w:p>
        </w:tc>
        <w:tc>
          <w:tcPr>
            <w:tcW w:w="13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36 752</w:t>
            </w:r>
          </w:p>
        </w:tc>
        <w:tc>
          <w:tcPr>
            <w:tcW w:w="152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356 443</w:t>
            </w:r>
          </w:p>
        </w:tc>
        <w:tc>
          <w:tcPr>
            <w:tcW w:w="15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12 892</w:t>
            </w:r>
          </w:p>
        </w:tc>
        <w:tc>
          <w:tcPr>
            <w:tcW w:w="1300" w:type="dxa"/>
            <w:tcBorders>
              <w:top w:val="single" w:color="000000" w:sz="0"/>
              <w:left w:val="single" w:color="000000" w:sz="4"/>
              <w:bottom w:val="single" w:color="000000" w:sz="4"/>
              <w:right w:val="single" w:color="000000" w:sz="4"/>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406 087</w:t>
            </w:r>
          </w:p>
        </w:tc>
      </w:tr>
      <w:tr>
        <w:trPr>
          <w:trHeight w:val="1" w:hRule="atLeast"/>
          <w:jc w:val="left"/>
        </w:trPr>
        <w:tc>
          <w:tcPr>
            <w:tcW w:w="3605"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операційні доходи</w:t>
            </w:r>
          </w:p>
        </w:tc>
        <w:tc>
          <w:tcPr>
            <w:tcW w:w="13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1 555 </w:t>
            </w:r>
          </w:p>
        </w:tc>
        <w:tc>
          <w:tcPr>
            <w:tcW w:w="152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78 682</w:t>
            </w:r>
          </w:p>
        </w:tc>
        <w:tc>
          <w:tcPr>
            <w:tcW w:w="15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4 480</w:t>
            </w:r>
          </w:p>
        </w:tc>
        <w:tc>
          <w:tcPr>
            <w:tcW w:w="1300" w:type="dxa"/>
            <w:tcBorders>
              <w:top w:val="single" w:color="000000" w:sz="0"/>
              <w:left w:val="single" w:color="000000" w:sz="4"/>
              <w:bottom w:val="single" w:color="000000" w:sz="4"/>
              <w:right w:val="single" w:color="000000" w:sz="4"/>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84 717</w:t>
            </w:r>
          </w:p>
        </w:tc>
      </w:tr>
      <w:tr>
        <w:trPr>
          <w:trHeight w:val="1" w:hRule="atLeast"/>
          <w:jc w:val="left"/>
        </w:trPr>
        <w:tc>
          <w:tcPr>
            <w:tcW w:w="3605"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доходи</w:t>
            </w:r>
          </w:p>
        </w:tc>
        <w:tc>
          <w:tcPr>
            <w:tcW w:w="13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rFonts w:ascii="Calibri" w:hAnsi="Calibri" w:cs="Calibri" w:eastAsia="Calibri"/>
                <w:color w:val="auto"/>
                <w:spacing w:val="0"/>
                <w:position w:val="0"/>
                <w:sz w:val="22"/>
                <w:shd w:fill="auto" w:val="clear"/>
              </w:rPr>
            </w:pPr>
          </w:p>
        </w:tc>
        <w:tc>
          <w:tcPr>
            <w:tcW w:w="152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rFonts w:ascii="Calibri" w:hAnsi="Calibri" w:cs="Calibri" w:eastAsia="Calibri"/>
                <w:color w:val="auto"/>
                <w:spacing w:val="0"/>
                <w:position w:val="0"/>
                <w:sz w:val="22"/>
                <w:shd w:fill="auto" w:val="clear"/>
              </w:rPr>
            </w:pPr>
          </w:p>
        </w:tc>
        <w:tc>
          <w:tcPr>
            <w:tcW w:w="15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1 133</w:t>
            </w:r>
          </w:p>
        </w:tc>
        <w:tc>
          <w:tcPr>
            <w:tcW w:w="1300" w:type="dxa"/>
            <w:tcBorders>
              <w:top w:val="single" w:color="000000" w:sz="0"/>
              <w:left w:val="single" w:color="000000" w:sz="4"/>
              <w:bottom w:val="single" w:color="000000" w:sz="4"/>
              <w:right w:val="single" w:color="000000" w:sz="4"/>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1 133</w:t>
            </w:r>
          </w:p>
        </w:tc>
      </w:tr>
      <w:tr>
        <w:trPr>
          <w:trHeight w:val="1" w:hRule="atLeast"/>
          <w:jc w:val="left"/>
        </w:trPr>
        <w:tc>
          <w:tcPr>
            <w:tcW w:w="3605"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фінансові доходи</w:t>
            </w:r>
          </w:p>
        </w:tc>
        <w:tc>
          <w:tcPr>
            <w:tcW w:w="13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rFonts w:ascii="Calibri" w:hAnsi="Calibri" w:cs="Calibri" w:eastAsia="Calibri"/>
                <w:color w:val="auto"/>
                <w:spacing w:val="0"/>
                <w:position w:val="0"/>
                <w:sz w:val="22"/>
                <w:shd w:fill="auto" w:val="clear"/>
              </w:rPr>
            </w:pPr>
          </w:p>
        </w:tc>
        <w:tc>
          <w:tcPr>
            <w:tcW w:w="152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rFonts w:ascii="Calibri" w:hAnsi="Calibri" w:cs="Calibri" w:eastAsia="Calibri"/>
                <w:color w:val="auto"/>
                <w:spacing w:val="0"/>
                <w:position w:val="0"/>
                <w:sz w:val="22"/>
                <w:shd w:fill="auto" w:val="clear"/>
              </w:rPr>
            </w:pPr>
          </w:p>
        </w:tc>
        <w:tc>
          <w:tcPr>
            <w:tcW w:w="15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101</w:t>
            </w:r>
          </w:p>
        </w:tc>
        <w:tc>
          <w:tcPr>
            <w:tcW w:w="1300" w:type="dxa"/>
            <w:tcBorders>
              <w:top w:val="single" w:color="000000" w:sz="0"/>
              <w:left w:val="single" w:color="000000" w:sz="4"/>
              <w:bottom w:val="single" w:color="000000" w:sz="4"/>
              <w:right w:val="single" w:color="000000" w:sz="4"/>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101</w:t>
            </w:r>
          </w:p>
        </w:tc>
      </w:tr>
      <w:tr>
        <w:trPr>
          <w:trHeight w:val="1" w:hRule="atLeast"/>
          <w:jc w:val="left"/>
        </w:trPr>
        <w:tc>
          <w:tcPr>
            <w:tcW w:w="3605"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Разом зовнішні доходи</w:t>
            </w:r>
          </w:p>
        </w:tc>
        <w:tc>
          <w:tcPr>
            <w:tcW w:w="13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38 307</w:t>
            </w:r>
          </w:p>
        </w:tc>
        <w:tc>
          <w:tcPr>
            <w:tcW w:w="152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435 125</w:t>
            </w:r>
          </w:p>
        </w:tc>
        <w:tc>
          <w:tcPr>
            <w:tcW w:w="15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18 606</w:t>
            </w:r>
          </w:p>
        </w:tc>
        <w:tc>
          <w:tcPr>
            <w:tcW w:w="1300" w:type="dxa"/>
            <w:tcBorders>
              <w:top w:val="single" w:color="000000" w:sz="0"/>
              <w:left w:val="single" w:color="000000" w:sz="4"/>
              <w:bottom w:val="single" w:color="000000" w:sz="4"/>
              <w:right w:val="single" w:color="000000" w:sz="4"/>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492 038</w:t>
            </w:r>
          </w:p>
        </w:tc>
      </w:tr>
      <w:tr>
        <w:trPr>
          <w:trHeight w:val="1" w:hRule="atLeast"/>
          <w:jc w:val="left"/>
        </w:trPr>
        <w:tc>
          <w:tcPr>
            <w:tcW w:w="3605"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Собівартість готової продукції та реалізованих послуг</w:t>
            </w:r>
          </w:p>
        </w:tc>
        <w:tc>
          <w:tcPr>
            <w:tcW w:w="13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22 954</w:t>
            </w:r>
          </w:p>
        </w:tc>
        <w:tc>
          <w:tcPr>
            <w:tcW w:w="152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229 888</w:t>
            </w:r>
          </w:p>
        </w:tc>
        <w:tc>
          <w:tcPr>
            <w:tcW w:w="15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965</w:t>
            </w:r>
          </w:p>
        </w:tc>
        <w:tc>
          <w:tcPr>
            <w:tcW w:w="1300" w:type="dxa"/>
            <w:tcBorders>
              <w:top w:val="single" w:color="000000" w:sz="0"/>
              <w:left w:val="single" w:color="000000" w:sz="4"/>
              <w:bottom w:val="single" w:color="000000" w:sz="4"/>
              <w:right w:val="single" w:color="000000" w:sz="4"/>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253 807</w:t>
            </w:r>
          </w:p>
        </w:tc>
      </w:tr>
      <w:tr>
        <w:trPr>
          <w:trHeight w:val="1" w:hRule="atLeast"/>
          <w:jc w:val="left"/>
        </w:trPr>
        <w:tc>
          <w:tcPr>
            <w:tcW w:w="3605"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Валовий прибуток сегментів</w:t>
            </w:r>
          </w:p>
        </w:tc>
        <w:tc>
          <w:tcPr>
            <w:tcW w:w="13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15 353</w:t>
            </w:r>
          </w:p>
        </w:tc>
        <w:tc>
          <w:tcPr>
            <w:tcW w:w="152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205 237</w:t>
            </w:r>
          </w:p>
        </w:tc>
        <w:tc>
          <w:tcPr>
            <w:tcW w:w="15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17 641</w:t>
            </w:r>
          </w:p>
        </w:tc>
        <w:tc>
          <w:tcPr>
            <w:tcW w:w="1300" w:type="dxa"/>
            <w:tcBorders>
              <w:top w:val="single" w:color="000000" w:sz="0"/>
              <w:left w:val="single" w:color="000000" w:sz="4"/>
              <w:bottom w:val="single" w:color="000000" w:sz="4"/>
              <w:right w:val="single" w:color="000000" w:sz="4"/>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238 231</w:t>
            </w:r>
          </w:p>
        </w:tc>
      </w:tr>
      <w:tr>
        <w:trPr>
          <w:trHeight w:val="1" w:hRule="atLeast"/>
          <w:jc w:val="left"/>
        </w:trPr>
        <w:tc>
          <w:tcPr>
            <w:tcW w:w="3605"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Витрати на збут</w:t>
            </w:r>
          </w:p>
        </w:tc>
        <w:tc>
          <w:tcPr>
            <w:tcW w:w="13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(11 675)</w:t>
            </w:r>
          </w:p>
        </w:tc>
        <w:tc>
          <w:tcPr>
            <w:tcW w:w="152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(83 827)</w:t>
            </w:r>
          </w:p>
        </w:tc>
        <w:tc>
          <w:tcPr>
            <w:tcW w:w="15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rFonts w:ascii="Calibri" w:hAnsi="Calibri" w:cs="Calibri" w:eastAsia="Calibri"/>
                <w:color w:val="auto"/>
                <w:spacing w:val="0"/>
                <w:position w:val="0"/>
                <w:sz w:val="22"/>
                <w:shd w:fill="auto" w:val="clear"/>
              </w:rPr>
            </w:pPr>
          </w:p>
        </w:tc>
        <w:tc>
          <w:tcPr>
            <w:tcW w:w="1300" w:type="dxa"/>
            <w:tcBorders>
              <w:top w:val="single" w:color="000000" w:sz="0"/>
              <w:left w:val="single" w:color="000000" w:sz="4"/>
              <w:bottom w:val="single" w:color="000000" w:sz="4"/>
              <w:right w:val="single" w:color="000000" w:sz="4"/>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(95 502)</w:t>
            </w:r>
          </w:p>
        </w:tc>
      </w:tr>
      <w:tr>
        <w:trPr>
          <w:trHeight w:val="1" w:hRule="atLeast"/>
          <w:jc w:val="left"/>
        </w:trPr>
        <w:tc>
          <w:tcPr>
            <w:tcW w:w="3605"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Нерозподілені витрати</w:t>
            </w:r>
          </w:p>
        </w:tc>
        <w:tc>
          <w:tcPr>
            <w:tcW w:w="13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rFonts w:ascii="Calibri" w:hAnsi="Calibri" w:cs="Calibri" w:eastAsia="Calibri"/>
                <w:color w:val="auto"/>
                <w:spacing w:val="0"/>
                <w:position w:val="0"/>
                <w:sz w:val="22"/>
                <w:shd w:fill="auto" w:val="clear"/>
              </w:rPr>
            </w:pPr>
          </w:p>
        </w:tc>
        <w:tc>
          <w:tcPr>
            <w:tcW w:w="152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(44 681)</w:t>
            </w:r>
          </w:p>
        </w:tc>
        <w:tc>
          <w:tcPr>
            <w:tcW w:w="15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(59012)</w:t>
            </w:r>
          </w:p>
        </w:tc>
        <w:tc>
          <w:tcPr>
            <w:tcW w:w="1300" w:type="dxa"/>
            <w:tcBorders>
              <w:top w:val="single" w:color="000000" w:sz="0"/>
              <w:left w:val="single" w:color="000000" w:sz="4"/>
              <w:bottom w:val="single" w:color="000000" w:sz="4"/>
              <w:right w:val="single" w:color="000000" w:sz="4"/>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(103 693)</w:t>
            </w:r>
          </w:p>
        </w:tc>
      </w:tr>
      <w:tr>
        <w:trPr>
          <w:trHeight w:val="1" w:hRule="atLeast"/>
          <w:jc w:val="left"/>
        </w:trPr>
        <w:tc>
          <w:tcPr>
            <w:tcW w:w="3605"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Прибуток до оподаткування</w:t>
            </w:r>
          </w:p>
        </w:tc>
        <w:tc>
          <w:tcPr>
            <w:tcW w:w="13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3 678</w:t>
            </w:r>
          </w:p>
        </w:tc>
        <w:tc>
          <w:tcPr>
            <w:tcW w:w="152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76 729</w:t>
            </w:r>
          </w:p>
        </w:tc>
        <w:tc>
          <w:tcPr>
            <w:tcW w:w="15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(41 371)</w:t>
            </w:r>
          </w:p>
        </w:tc>
        <w:tc>
          <w:tcPr>
            <w:tcW w:w="1300" w:type="dxa"/>
            <w:tcBorders>
              <w:top w:val="single" w:color="000000" w:sz="0"/>
              <w:left w:val="single" w:color="000000" w:sz="4"/>
              <w:bottom w:val="single" w:color="000000" w:sz="4"/>
              <w:right w:val="single" w:color="000000" w:sz="4"/>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39 036</w:t>
            </w:r>
          </w:p>
        </w:tc>
      </w:tr>
      <w:tr>
        <w:trPr>
          <w:trHeight w:val="1" w:hRule="atLeast"/>
          <w:jc w:val="left"/>
        </w:trPr>
        <w:tc>
          <w:tcPr>
            <w:tcW w:w="3605"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Податок на прибуток</w:t>
            </w:r>
          </w:p>
        </w:tc>
        <w:tc>
          <w:tcPr>
            <w:tcW w:w="13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rFonts w:ascii="Calibri" w:hAnsi="Calibri" w:cs="Calibri" w:eastAsia="Calibri"/>
                <w:color w:val="auto"/>
                <w:spacing w:val="0"/>
                <w:position w:val="0"/>
                <w:sz w:val="22"/>
                <w:shd w:fill="auto" w:val="clear"/>
              </w:rPr>
            </w:pPr>
          </w:p>
        </w:tc>
        <w:tc>
          <w:tcPr>
            <w:tcW w:w="152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rFonts w:ascii="Calibri" w:hAnsi="Calibri" w:cs="Calibri" w:eastAsia="Calibri"/>
                <w:color w:val="auto"/>
                <w:spacing w:val="0"/>
                <w:position w:val="0"/>
                <w:sz w:val="22"/>
                <w:shd w:fill="auto" w:val="clear"/>
              </w:rPr>
            </w:pPr>
          </w:p>
        </w:tc>
        <w:tc>
          <w:tcPr>
            <w:tcW w:w="15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7 621</w:t>
            </w:r>
          </w:p>
        </w:tc>
        <w:tc>
          <w:tcPr>
            <w:tcW w:w="1300" w:type="dxa"/>
            <w:tcBorders>
              <w:top w:val="single" w:color="000000" w:sz="0"/>
              <w:left w:val="single" w:color="000000" w:sz="4"/>
              <w:bottom w:val="single" w:color="000000" w:sz="4"/>
              <w:right w:val="single" w:color="000000" w:sz="4"/>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7 621</w:t>
            </w:r>
          </w:p>
        </w:tc>
      </w:tr>
      <w:tr>
        <w:trPr>
          <w:trHeight w:val="1" w:hRule="atLeast"/>
          <w:jc w:val="left"/>
        </w:trPr>
        <w:tc>
          <w:tcPr>
            <w:tcW w:w="3605"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Чистий прибуток (сукупний дохід)</w:t>
            </w:r>
          </w:p>
        </w:tc>
        <w:tc>
          <w:tcPr>
            <w:tcW w:w="13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rFonts w:ascii="Calibri" w:hAnsi="Calibri" w:cs="Calibri" w:eastAsia="Calibri"/>
                <w:color w:val="auto"/>
                <w:spacing w:val="0"/>
                <w:position w:val="0"/>
                <w:sz w:val="22"/>
                <w:shd w:fill="auto" w:val="clear"/>
              </w:rPr>
            </w:pPr>
          </w:p>
        </w:tc>
        <w:tc>
          <w:tcPr>
            <w:tcW w:w="152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rFonts w:ascii="Calibri" w:hAnsi="Calibri" w:cs="Calibri" w:eastAsia="Calibri"/>
                <w:color w:val="auto"/>
                <w:spacing w:val="0"/>
                <w:position w:val="0"/>
                <w:sz w:val="22"/>
                <w:shd w:fill="auto" w:val="clear"/>
              </w:rPr>
            </w:pPr>
          </w:p>
        </w:tc>
        <w:tc>
          <w:tcPr>
            <w:tcW w:w="15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31 415</w:t>
            </w:r>
          </w:p>
        </w:tc>
        <w:tc>
          <w:tcPr>
            <w:tcW w:w="1300" w:type="dxa"/>
            <w:tcBorders>
              <w:top w:val="single" w:color="000000" w:sz="0"/>
              <w:left w:val="single" w:color="000000" w:sz="4"/>
              <w:bottom w:val="single" w:color="000000" w:sz="4"/>
              <w:right w:val="single" w:color="000000" w:sz="4"/>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31 415 </w:t>
            </w:r>
          </w:p>
        </w:tc>
      </w:tr>
      <w:tr>
        <w:trPr>
          <w:trHeight w:val="1" w:hRule="atLeast"/>
          <w:jc w:val="left"/>
        </w:trPr>
        <w:tc>
          <w:tcPr>
            <w:tcW w:w="3605"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Сегментні активи</w:t>
            </w:r>
          </w:p>
        </w:tc>
        <w:tc>
          <w:tcPr>
            <w:tcW w:w="13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11</w:t>
            </w:r>
          </w:p>
        </w:tc>
        <w:tc>
          <w:tcPr>
            <w:tcW w:w="152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6 803</w:t>
            </w:r>
          </w:p>
        </w:tc>
        <w:tc>
          <w:tcPr>
            <w:tcW w:w="15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580 925</w:t>
            </w:r>
          </w:p>
        </w:tc>
        <w:tc>
          <w:tcPr>
            <w:tcW w:w="1300" w:type="dxa"/>
            <w:tcBorders>
              <w:top w:val="single" w:color="000000" w:sz="0"/>
              <w:left w:val="single" w:color="000000" w:sz="4"/>
              <w:bottom w:val="single" w:color="000000" w:sz="4"/>
              <w:right w:val="single" w:color="000000" w:sz="4"/>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587 739</w:t>
            </w:r>
          </w:p>
        </w:tc>
      </w:tr>
      <w:tr>
        <w:trPr>
          <w:trHeight w:val="1" w:hRule="atLeast"/>
          <w:jc w:val="left"/>
        </w:trPr>
        <w:tc>
          <w:tcPr>
            <w:tcW w:w="3605"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Сегментні зобов'язання</w:t>
            </w:r>
          </w:p>
        </w:tc>
        <w:tc>
          <w:tcPr>
            <w:tcW w:w="13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1 342</w:t>
            </w:r>
          </w:p>
        </w:tc>
        <w:tc>
          <w:tcPr>
            <w:tcW w:w="152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4 297</w:t>
            </w:r>
          </w:p>
        </w:tc>
        <w:tc>
          <w:tcPr>
            <w:tcW w:w="1588" w:type="dxa"/>
            <w:tcBorders>
              <w:top w:val="single" w:color="000000" w:sz="0"/>
              <w:left w:val="single" w:color="000000" w:sz="4"/>
              <w:bottom w:val="single" w:color="000000" w:sz="4"/>
              <w:right w:val="single" w:color="000000" w:sz="0"/>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282 795</w:t>
            </w:r>
          </w:p>
        </w:tc>
        <w:tc>
          <w:tcPr>
            <w:tcW w:w="1300" w:type="dxa"/>
            <w:tcBorders>
              <w:top w:val="single" w:color="000000" w:sz="0"/>
              <w:left w:val="single" w:color="000000" w:sz="4"/>
              <w:bottom w:val="single" w:color="000000" w:sz="4"/>
              <w:right w:val="single" w:color="000000" w:sz="4"/>
            </w:tcBorders>
            <w:shd w:color="000000" w:fill="ffffff" w:val="clear"/>
            <w:tcMar>
              <w:left w:w="54" w:type="dxa"/>
              <w:right w:w="54" w:type="dxa"/>
            </w:tcMar>
            <w:vAlign w:val="top"/>
          </w:tcPr>
          <w:p>
            <w:pPr>
              <w:spacing w:before="120" w:after="120" w:line="259"/>
              <w:ind w:right="0" w:left="15"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288 434</w:t>
            </w:r>
          </w:p>
        </w:tc>
      </w:tr>
    </w:tbl>
    <w:p>
      <w:pPr>
        <w:spacing w:before="120" w:after="120" w:line="259"/>
        <w:ind w:right="0" w:left="15" w:firstLine="0"/>
        <w:jc w:val="both"/>
        <w:rPr>
          <w:rFonts w:ascii="Times New Roman" w:hAnsi="Times New Roman" w:cs="Times New Roman" w:eastAsia="Times New Roman"/>
          <w:color w:val="000000"/>
          <w:spacing w:val="0"/>
          <w:position w:val="0"/>
          <w:sz w:val="24"/>
          <w:u w:val="single"/>
          <w:shd w:fill="auto" w:val="clear"/>
        </w:rPr>
      </w:pPr>
    </w:p>
    <w:p>
      <w:pPr>
        <w:spacing w:before="120" w:after="120" w:line="259"/>
        <w:ind w:right="0" w:left="15" w:firstLine="705"/>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Інформація про доходи, витрати, активи і зобов'язання сегментів представлена в розрізі збуту продукції Товариства в Україні та на експорт за рік, що закінчився 31 грудня 2020 року. </w:t>
      </w:r>
    </w:p>
    <w:tbl>
      <w:tblPr>
        <w:tblInd w:w="55" w:type="dxa"/>
      </w:tblPr>
      <w:tblGrid>
        <w:gridCol w:w="3538"/>
        <w:gridCol w:w="1496"/>
        <w:gridCol w:w="1532"/>
        <w:gridCol w:w="1516"/>
        <w:gridCol w:w="1326"/>
      </w:tblGrid>
      <w:tr>
        <w:trPr>
          <w:trHeight w:val="1" w:hRule="atLeast"/>
          <w:jc w:val="left"/>
        </w:trPr>
        <w:tc>
          <w:tcPr>
            <w:tcW w:w="3538"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Показники</w:t>
            </w:r>
          </w:p>
        </w:tc>
        <w:tc>
          <w:tcPr>
            <w:tcW w:w="149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rFonts w:ascii="Times New Roman" w:hAnsi="Times New Roman" w:cs="Times New Roman" w:eastAsia="Times New Roman"/>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Сегмент 1</w:t>
            </w:r>
          </w:p>
          <w:p>
            <w:pPr>
              <w:spacing w:before="120" w:after="120" w:line="240"/>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Україна</w:t>
            </w:r>
          </w:p>
        </w:tc>
        <w:tc>
          <w:tcPr>
            <w:tcW w:w="153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rFonts w:ascii="Times New Roman" w:hAnsi="Times New Roman" w:cs="Times New Roman" w:eastAsia="Times New Roman"/>
                <w:color w:val="000000"/>
                <w:spacing w:val="0"/>
                <w:position w:val="0"/>
                <w:sz w:val="22"/>
                <w:u w:val="single"/>
                <w:shd w:fill="auto" w:val="clear"/>
              </w:rPr>
            </w:pPr>
            <w:r>
              <w:rPr>
                <w:rFonts w:ascii="Times New Roman" w:hAnsi="Times New Roman" w:cs="Times New Roman" w:eastAsia="Times New Roman"/>
                <w:b/>
                <w:color w:val="000000"/>
                <w:spacing w:val="0"/>
                <w:position w:val="0"/>
                <w:sz w:val="22"/>
                <w:u w:val="single"/>
                <w:shd w:fill="auto" w:val="clear"/>
              </w:rPr>
              <w:t xml:space="preserve">Сегмент 2</w:t>
            </w:r>
          </w:p>
          <w:p>
            <w:pPr>
              <w:spacing w:before="120" w:after="12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Зарубіжжя</w:t>
            </w:r>
          </w:p>
        </w:tc>
        <w:tc>
          <w:tcPr>
            <w:tcW w:w="151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Нерозподілені суми</w:t>
            </w:r>
          </w:p>
        </w:tc>
        <w:tc>
          <w:tcPr>
            <w:tcW w:w="132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r>
      <w:tr>
        <w:trPr>
          <w:trHeight w:val="1" w:hRule="atLeast"/>
          <w:jc w:val="left"/>
        </w:trPr>
        <w:tc>
          <w:tcPr>
            <w:tcW w:w="3538"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Дохід від реалізації</w:t>
            </w:r>
          </w:p>
        </w:tc>
        <w:tc>
          <w:tcPr>
            <w:tcW w:w="149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68 281</w:t>
            </w:r>
          </w:p>
        </w:tc>
        <w:tc>
          <w:tcPr>
            <w:tcW w:w="153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206 363</w:t>
            </w:r>
          </w:p>
        </w:tc>
        <w:tc>
          <w:tcPr>
            <w:tcW w:w="151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235</w:t>
            </w:r>
          </w:p>
        </w:tc>
        <w:tc>
          <w:tcPr>
            <w:tcW w:w="132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274 879</w:t>
            </w:r>
          </w:p>
        </w:tc>
      </w:tr>
      <w:tr>
        <w:trPr>
          <w:trHeight w:val="1" w:hRule="atLeast"/>
          <w:jc w:val="left"/>
        </w:trPr>
        <w:tc>
          <w:tcPr>
            <w:tcW w:w="3538"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операційні доходи</w:t>
            </w:r>
          </w:p>
        </w:tc>
        <w:tc>
          <w:tcPr>
            <w:tcW w:w="149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rFonts w:ascii="Calibri" w:hAnsi="Calibri" w:cs="Calibri" w:eastAsia="Calibri"/>
                <w:color w:val="auto"/>
                <w:spacing w:val="0"/>
                <w:position w:val="0"/>
                <w:sz w:val="22"/>
                <w:shd w:fill="auto" w:val="clear"/>
              </w:rPr>
            </w:pPr>
          </w:p>
        </w:tc>
        <w:tc>
          <w:tcPr>
            <w:tcW w:w="153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3 116</w:t>
            </w:r>
          </w:p>
        </w:tc>
        <w:tc>
          <w:tcPr>
            <w:tcW w:w="151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3 267</w:t>
            </w:r>
          </w:p>
        </w:tc>
        <w:tc>
          <w:tcPr>
            <w:tcW w:w="132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6 383</w:t>
            </w:r>
          </w:p>
        </w:tc>
      </w:tr>
      <w:tr>
        <w:trPr>
          <w:trHeight w:val="1" w:hRule="atLeast"/>
          <w:jc w:val="left"/>
        </w:trPr>
        <w:tc>
          <w:tcPr>
            <w:tcW w:w="3538"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фінансові доходи</w:t>
            </w:r>
          </w:p>
        </w:tc>
        <w:tc>
          <w:tcPr>
            <w:tcW w:w="149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rFonts w:ascii="Calibri" w:hAnsi="Calibri" w:cs="Calibri" w:eastAsia="Calibri"/>
                <w:color w:val="auto"/>
                <w:spacing w:val="0"/>
                <w:position w:val="0"/>
                <w:sz w:val="22"/>
                <w:shd w:fill="auto" w:val="clear"/>
              </w:rPr>
            </w:pPr>
          </w:p>
        </w:tc>
        <w:tc>
          <w:tcPr>
            <w:tcW w:w="153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rFonts w:ascii="Calibri" w:hAnsi="Calibri" w:cs="Calibri" w:eastAsia="Calibri"/>
                <w:color w:val="auto"/>
                <w:spacing w:val="0"/>
                <w:position w:val="0"/>
                <w:sz w:val="22"/>
                <w:shd w:fill="auto" w:val="clear"/>
              </w:rPr>
            </w:pPr>
          </w:p>
        </w:tc>
        <w:tc>
          <w:tcPr>
            <w:tcW w:w="151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14 500</w:t>
            </w:r>
          </w:p>
        </w:tc>
        <w:tc>
          <w:tcPr>
            <w:tcW w:w="132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14 500</w:t>
            </w:r>
          </w:p>
        </w:tc>
      </w:tr>
      <w:tr>
        <w:trPr>
          <w:trHeight w:val="1" w:hRule="atLeast"/>
          <w:jc w:val="left"/>
        </w:trPr>
        <w:tc>
          <w:tcPr>
            <w:tcW w:w="3538"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Інші доходи</w:t>
            </w:r>
          </w:p>
        </w:tc>
        <w:tc>
          <w:tcPr>
            <w:tcW w:w="149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rFonts w:ascii="Calibri" w:hAnsi="Calibri" w:cs="Calibri" w:eastAsia="Calibri"/>
                <w:color w:val="auto"/>
                <w:spacing w:val="0"/>
                <w:position w:val="0"/>
                <w:sz w:val="22"/>
                <w:shd w:fill="auto" w:val="clear"/>
              </w:rPr>
            </w:pPr>
          </w:p>
        </w:tc>
        <w:tc>
          <w:tcPr>
            <w:tcW w:w="153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rFonts w:ascii="Calibri" w:hAnsi="Calibri" w:cs="Calibri" w:eastAsia="Calibri"/>
                <w:color w:val="auto"/>
                <w:spacing w:val="0"/>
                <w:position w:val="0"/>
                <w:sz w:val="22"/>
                <w:shd w:fill="auto" w:val="clear"/>
              </w:rPr>
            </w:pPr>
          </w:p>
        </w:tc>
        <w:tc>
          <w:tcPr>
            <w:tcW w:w="151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169</w:t>
            </w:r>
          </w:p>
        </w:tc>
        <w:tc>
          <w:tcPr>
            <w:tcW w:w="132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169</w:t>
            </w:r>
          </w:p>
        </w:tc>
      </w:tr>
      <w:tr>
        <w:trPr>
          <w:trHeight w:val="1" w:hRule="atLeast"/>
          <w:jc w:val="left"/>
        </w:trPr>
        <w:tc>
          <w:tcPr>
            <w:tcW w:w="3538"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Разом зовнішні доходи</w:t>
            </w:r>
          </w:p>
        </w:tc>
        <w:tc>
          <w:tcPr>
            <w:tcW w:w="149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68 281</w:t>
            </w:r>
          </w:p>
        </w:tc>
        <w:tc>
          <w:tcPr>
            <w:tcW w:w="153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209 479</w:t>
            </w:r>
          </w:p>
        </w:tc>
        <w:tc>
          <w:tcPr>
            <w:tcW w:w="151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18 171</w:t>
            </w:r>
          </w:p>
        </w:tc>
        <w:tc>
          <w:tcPr>
            <w:tcW w:w="132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295 931</w:t>
            </w:r>
          </w:p>
        </w:tc>
      </w:tr>
      <w:tr>
        <w:trPr>
          <w:trHeight w:val="1" w:hRule="atLeast"/>
          <w:jc w:val="left"/>
        </w:trPr>
        <w:tc>
          <w:tcPr>
            <w:tcW w:w="3538"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Собівартість гп та реалізованих послуг</w:t>
            </w:r>
          </w:p>
        </w:tc>
        <w:tc>
          <w:tcPr>
            <w:tcW w:w="149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(54 133)</w:t>
            </w:r>
          </w:p>
        </w:tc>
        <w:tc>
          <w:tcPr>
            <w:tcW w:w="153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(101 936)</w:t>
            </w:r>
          </w:p>
        </w:tc>
        <w:tc>
          <w:tcPr>
            <w:tcW w:w="151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(120)</w:t>
            </w:r>
          </w:p>
        </w:tc>
        <w:tc>
          <w:tcPr>
            <w:tcW w:w="132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(156 189)</w:t>
            </w:r>
          </w:p>
        </w:tc>
      </w:tr>
      <w:tr>
        <w:trPr>
          <w:trHeight w:val="1" w:hRule="atLeast"/>
          <w:jc w:val="left"/>
        </w:trPr>
        <w:tc>
          <w:tcPr>
            <w:tcW w:w="3538"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Валовий прибуток сегментів</w:t>
            </w:r>
          </w:p>
        </w:tc>
        <w:tc>
          <w:tcPr>
            <w:tcW w:w="149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14 148</w:t>
            </w:r>
          </w:p>
        </w:tc>
        <w:tc>
          <w:tcPr>
            <w:tcW w:w="153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107 543</w:t>
            </w:r>
          </w:p>
        </w:tc>
        <w:tc>
          <w:tcPr>
            <w:tcW w:w="151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18 051</w:t>
            </w:r>
          </w:p>
        </w:tc>
        <w:tc>
          <w:tcPr>
            <w:tcW w:w="132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139 742</w:t>
            </w:r>
          </w:p>
        </w:tc>
      </w:tr>
      <w:tr>
        <w:trPr>
          <w:trHeight w:val="1" w:hRule="atLeast"/>
          <w:jc w:val="left"/>
        </w:trPr>
        <w:tc>
          <w:tcPr>
            <w:tcW w:w="3538"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Витрати на збут</w:t>
            </w:r>
          </w:p>
        </w:tc>
        <w:tc>
          <w:tcPr>
            <w:tcW w:w="149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(9 859)</w:t>
            </w:r>
          </w:p>
        </w:tc>
        <w:tc>
          <w:tcPr>
            <w:tcW w:w="153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(56 371)</w:t>
            </w:r>
          </w:p>
        </w:tc>
        <w:tc>
          <w:tcPr>
            <w:tcW w:w="151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(5 801)</w:t>
            </w:r>
          </w:p>
        </w:tc>
        <w:tc>
          <w:tcPr>
            <w:tcW w:w="132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(72 031)</w:t>
            </w:r>
          </w:p>
        </w:tc>
      </w:tr>
      <w:tr>
        <w:trPr>
          <w:trHeight w:val="1" w:hRule="atLeast"/>
          <w:jc w:val="left"/>
        </w:trPr>
        <w:tc>
          <w:tcPr>
            <w:tcW w:w="3538"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Нерозподілені витрати</w:t>
            </w:r>
          </w:p>
        </w:tc>
        <w:tc>
          <w:tcPr>
            <w:tcW w:w="149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rFonts w:ascii="Calibri" w:hAnsi="Calibri" w:cs="Calibri" w:eastAsia="Calibri"/>
                <w:color w:val="auto"/>
                <w:spacing w:val="0"/>
                <w:position w:val="0"/>
                <w:sz w:val="22"/>
                <w:shd w:fill="auto" w:val="clear"/>
              </w:rPr>
            </w:pPr>
          </w:p>
        </w:tc>
        <w:tc>
          <w:tcPr>
            <w:tcW w:w="153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rFonts w:ascii="Calibri" w:hAnsi="Calibri" w:cs="Calibri" w:eastAsia="Calibri"/>
                <w:color w:val="auto"/>
                <w:spacing w:val="0"/>
                <w:position w:val="0"/>
                <w:sz w:val="22"/>
                <w:shd w:fill="auto" w:val="clear"/>
              </w:rPr>
            </w:pPr>
          </w:p>
        </w:tc>
        <w:tc>
          <w:tcPr>
            <w:tcW w:w="151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(144 543)</w:t>
            </w:r>
          </w:p>
        </w:tc>
        <w:tc>
          <w:tcPr>
            <w:tcW w:w="132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(144 543)</w:t>
            </w:r>
          </w:p>
        </w:tc>
      </w:tr>
      <w:tr>
        <w:trPr>
          <w:trHeight w:val="1" w:hRule="atLeast"/>
          <w:jc w:val="left"/>
        </w:trPr>
        <w:tc>
          <w:tcPr>
            <w:tcW w:w="3538"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Прибуток до оподаткування</w:t>
            </w:r>
          </w:p>
        </w:tc>
        <w:tc>
          <w:tcPr>
            <w:tcW w:w="149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4 289</w:t>
            </w:r>
          </w:p>
        </w:tc>
        <w:tc>
          <w:tcPr>
            <w:tcW w:w="153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51 172</w:t>
            </w:r>
          </w:p>
        </w:tc>
        <w:tc>
          <w:tcPr>
            <w:tcW w:w="151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(132 293)</w:t>
            </w:r>
          </w:p>
        </w:tc>
        <w:tc>
          <w:tcPr>
            <w:tcW w:w="132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(76 832)</w:t>
            </w:r>
          </w:p>
        </w:tc>
      </w:tr>
      <w:tr>
        <w:trPr>
          <w:trHeight w:val="1" w:hRule="atLeast"/>
          <w:jc w:val="left"/>
        </w:trPr>
        <w:tc>
          <w:tcPr>
            <w:tcW w:w="3538"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Податок на прибуток (ВПА)</w:t>
            </w:r>
          </w:p>
        </w:tc>
        <w:tc>
          <w:tcPr>
            <w:tcW w:w="149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rFonts w:ascii="Calibri" w:hAnsi="Calibri" w:cs="Calibri" w:eastAsia="Calibri"/>
                <w:color w:val="auto"/>
                <w:spacing w:val="0"/>
                <w:position w:val="0"/>
                <w:sz w:val="22"/>
                <w:shd w:fill="auto" w:val="clear"/>
              </w:rPr>
            </w:pPr>
          </w:p>
        </w:tc>
        <w:tc>
          <w:tcPr>
            <w:tcW w:w="153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rFonts w:ascii="Calibri" w:hAnsi="Calibri" w:cs="Calibri" w:eastAsia="Calibri"/>
                <w:color w:val="auto"/>
                <w:spacing w:val="0"/>
                <w:position w:val="0"/>
                <w:sz w:val="22"/>
                <w:shd w:fill="auto" w:val="clear"/>
              </w:rPr>
            </w:pPr>
          </w:p>
        </w:tc>
        <w:tc>
          <w:tcPr>
            <w:tcW w:w="151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rFonts w:ascii="Calibri" w:hAnsi="Calibri" w:cs="Calibri" w:eastAsia="Calibri"/>
                <w:color w:val="auto"/>
                <w:spacing w:val="0"/>
                <w:position w:val="0"/>
                <w:sz w:val="22"/>
                <w:shd w:fill="auto" w:val="clear"/>
              </w:rPr>
            </w:pPr>
          </w:p>
        </w:tc>
        <w:tc>
          <w:tcPr>
            <w:tcW w:w="132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13 874</w:t>
            </w:r>
          </w:p>
        </w:tc>
      </w:tr>
      <w:tr>
        <w:trPr>
          <w:trHeight w:val="1" w:hRule="atLeast"/>
          <w:jc w:val="left"/>
        </w:trPr>
        <w:tc>
          <w:tcPr>
            <w:tcW w:w="3538"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Чистий прибуток (сукупний дохід)</w:t>
            </w:r>
          </w:p>
        </w:tc>
        <w:tc>
          <w:tcPr>
            <w:tcW w:w="149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rFonts w:ascii="Calibri" w:hAnsi="Calibri" w:cs="Calibri" w:eastAsia="Calibri"/>
                <w:color w:val="auto"/>
                <w:spacing w:val="0"/>
                <w:position w:val="0"/>
                <w:sz w:val="22"/>
                <w:shd w:fill="auto" w:val="clear"/>
              </w:rPr>
            </w:pPr>
          </w:p>
        </w:tc>
        <w:tc>
          <w:tcPr>
            <w:tcW w:w="153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rFonts w:ascii="Calibri" w:hAnsi="Calibri" w:cs="Calibri" w:eastAsia="Calibri"/>
                <w:color w:val="auto"/>
                <w:spacing w:val="0"/>
                <w:position w:val="0"/>
                <w:sz w:val="22"/>
                <w:shd w:fill="auto" w:val="clear"/>
              </w:rPr>
            </w:pPr>
          </w:p>
        </w:tc>
        <w:tc>
          <w:tcPr>
            <w:tcW w:w="151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rFonts w:ascii="Calibri" w:hAnsi="Calibri" w:cs="Calibri" w:eastAsia="Calibri"/>
                <w:color w:val="auto"/>
                <w:spacing w:val="0"/>
                <w:position w:val="0"/>
                <w:sz w:val="22"/>
                <w:shd w:fill="auto" w:val="clear"/>
              </w:rPr>
            </w:pPr>
          </w:p>
        </w:tc>
        <w:tc>
          <w:tcPr>
            <w:tcW w:w="132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(62 958)</w:t>
            </w:r>
          </w:p>
        </w:tc>
      </w:tr>
      <w:tr>
        <w:trPr>
          <w:trHeight w:val="1" w:hRule="atLeast"/>
          <w:jc w:val="left"/>
        </w:trPr>
        <w:tc>
          <w:tcPr>
            <w:tcW w:w="3538"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Сегментні активи</w:t>
            </w:r>
          </w:p>
        </w:tc>
        <w:tc>
          <w:tcPr>
            <w:tcW w:w="149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328</w:t>
            </w:r>
          </w:p>
        </w:tc>
        <w:tc>
          <w:tcPr>
            <w:tcW w:w="153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24 042</w:t>
            </w:r>
          </w:p>
        </w:tc>
        <w:tc>
          <w:tcPr>
            <w:tcW w:w="151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630 331</w:t>
            </w:r>
          </w:p>
        </w:tc>
        <w:tc>
          <w:tcPr>
            <w:tcW w:w="132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654 701</w:t>
            </w:r>
          </w:p>
        </w:tc>
      </w:tr>
      <w:tr>
        <w:trPr>
          <w:trHeight w:val="1" w:hRule="atLeast"/>
          <w:jc w:val="left"/>
        </w:trPr>
        <w:tc>
          <w:tcPr>
            <w:tcW w:w="3538"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Сегментні зобов'язання</w:t>
            </w:r>
          </w:p>
        </w:tc>
        <w:tc>
          <w:tcPr>
            <w:tcW w:w="149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1 014</w:t>
            </w:r>
          </w:p>
        </w:tc>
        <w:tc>
          <w:tcPr>
            <w:tcW w:w="1532"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13 740</w:t>
            </w:r>
          </w:p>
        </w:tc>
        <w:tc>
          <w:tcPr>
            <w:tcW w:w="1516" w:type="dxa"/>
            <w:tcBorders>
              <w:top w:val="single" w:color="000000" w:sz="0"/>
              <w:left w:val="single" w:color="000000" w:sz="4"/>
              <w:bottom w:val="single" w:color="000000" w:sz="4"/>
              <w:right w:val="single" w:color="000000" w:sz="0"/>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404 474</w:t>
            </w:r>
          </w:p>
        </w:tc>
        <w:tc>
          <w:tcPr>
            <w:tcW w:w="1326" w:type="dxa"/>
            <w:tcBorders>
              <w:top w:val="single" w:color="000000" w:sz="0"/>
              <w:left w:val="single" w:color="000000" w:sz="4"/>
              <w:bottom w:val="single" w:color="000000" w:sz="4"/>
              <w:right w:val="single" w:color="000000" w:sz="4"/>
            </w:tcBorders>
            <w:shd w:color="000000" w:fill="auto" w:val="clear"/>
            <w:tcMar>
              <w:left w:w="54" w:type="dxa"/>
              <w:right w:w="54" w:type="dxa"/>
            </w:tcMar>
            <w:vAlign w:val="top"/>
          </w:tcPr>
          <w:p>
            <w:pPr>
              <w:spacing w:before="120" w:after="120" w:line="240"/>
              <w:ind w:right="0" w:left="0" w:firstLine="0"/>
              <w:jc w:val="righ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419 228</w:t>
            </w:r>
          </w:p>
        </w:tc>
      </w:tr>
    </w:tbl>
    <w:p>
      <w:pPr>
        <w:spacing w:before="120" w:after="120" w:line="259"/>
        <w:ind w:right="0" w:left="15" w:firstLine="705"/>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До сегментних доходів відносяться доходи від реалізації продукції, до сегментних витрат - собівартість реалізованої продукції та витрати на збут. Сегментні активи включають дебіторську заборгованість за поставлену продукцію. Сегментні зобов'язання включають аванси, одержані від покупців продукції. Інші активи, зобов'язання, доходи і витрати, а також податок на прибуток контролюються Товариством в цілому.</w:t>
      </w:r>
    </w:p>
    <w:p>
      <w:pPr>
        <w:keepNext w:val="true"/>
        <w:spacing w:before="120" w:after="120" w:line="259"/>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b/>
          <w:color w:val="000000"/>
          <w:spacing w:val="0"/>
          <w:position w:val="0"/>
          <w:sz w:val="24"/>
          <w:u w:val="single"/>
          <w:shd w:fill="auto" w:val="clear"/>
        </w:rPr>
        <w:t xml:space="preserve">28. </w:t>
      </w:r>
      <w:r>
        <w:rPr>
          <w:rFonts w:ascii="Times New Roman" w:hAnsi="Times New Roman" w:cs="Times New Roman" w:eastAsia="Times New Roman"/>
          <w:b/>
          <w:color w:val="000000"/>
          <w:spacing w:val="0"/>
          <w:position w:val="0"/>
          <w:sz w:val="24"/>
          <w:u w:val="single"/>
          <w:shd w:fill="auto" w:val="clear"/>
        </w:rPr>
        <w:t xml:space="preserve">УМОВНІ ТА КОНТРАКТНІ ЗОБОВ’ЯЗАННЯ </w:t>
      </w:r>
    </w:p>
    <w:p>
      <w:pPr>
        <w:spacing w:before="0" w:after="120" w:line="259"/>
        <w:ind w:right="0" w:left="15"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ab/>
      </w:r>
      <w:r>
        <w:rPr>
          <w:rFonts w:ascii="Times New Roman" w:hAnsi="Times New Roman" w:cs="Times New Roman" w:eastAsia="Times New Roman"/>
          <w:b/>
          <w:color w:val="000000"/>
          <w:spacing w:val="0"/>
          <w:position w:val="0"/>
          <w:sz w:val="24"/>
          <w:u w:val="single"/>
          <w:shd w:fill="auto" w:val="clear"/>
        </w:rPr>
        <w:t xml:space="preserve">Операційне середовище</w:t>
      </w:r>
    </w:p>
    <w:p>
      <w:pPr>
        <w:spacing w:before="0" w:after="120" w:line="259"/>
        <w:ind w:right="0" w:left="0" w:firstLine="709"/>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Діяльність Товариства, як і діяльність інших підприємств в Україні, знаходиться під впливом безперервної політичної та економічної невизначеності, спричиненої військовим протистоянням на Сході України та спалахом COVID-19.</w:t>
      </w:r>
    </w:p>
    <w:p>
      <w:pPr>
        <w:spacing w:before="0" w:after="120" w:line="259"/>
        <w:ind w:right="0" w:left="0" w:firstLine="705"/>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З кінця 2019 року розпочалося глобальне розповсюдження COVID-19, яке суттєво вплинуло на економічне становище в Україні. Заходи, що вживаються для стримування поширення вірусу, включаючи обмеження руху транспорту, карантин, соціальні дистанції, призупинення діяльності об’єктів інфраструктури, тощо уповільнюють економічну діяльність підприємств, у тому числі Товариства. </w:t>
      </w:r>
    </w:p>
    <w:p>
      <w:pPr>
        <w:spacing w:before="0" w:after="120" w:line="259"/>
        <w:ind w:right="0" w:left="0" w:firstLine="705"/>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Товариство частково перевело своїх працівників на віддалену роботу з дому, за виключенням осіб, які задіяні безпосередньо у виробництві. Було проведено тестування можливостей програмного забезпечення і систем компанії для забезпечення плавного переходу до режиму віддаленої та безперебійної роботи всіх робочих процесів. Здоров’я і безпека співробітників залишаються в центрі уваги керівництва. Застосовані заходи не вплинули на зниження виручки і обсягу операцій Товариства.</w:t>
      </w:r>
    </w:p>
    <w:p>
      <w:pPr>
        <w:spacing w:before="0" w:after="120" w:line="259"/>
        <w:ind w:right="0" w:left="0" w:firstLine="705"/>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Наслідки виникнення та поширення COVID-19 в країнах Європи суттєво і негативно вплинули на попит на продукцію Товариства. Обсяг чистого доходу від реалізації продукції в порівнянні з попереднім роком знизився на 32 відсотки. Завдяки скороченню витрат, валовий прибуток знизився в порівнянні з попереднім роком на 22 відсотки. Прибуток від операційної діяльності склав 3609 тис. грн, що на 97 відсотків менше ніж минулого року.</w:t>
      </w:r>
    </w:p>
    <w:tbl>
      <w:tblPr/>
      <w:tblGrid>
        <w:gridCol w:w="3849"/>
        <w:gridCol w:w="1399"/>
        <w:gridCol w:w="1536"/>
        <w:gridCol w:w="1421"/>
        <w:gridCol w:w="1366"/>
      </w:tblGrid>
      <w:tr>
        <w:trPr>
          <w:trHeight w:val="1" w:hRule="atLeast"/>
          <w:jc w:val="right"/>
        </w:trPr>
        <w:tc>
          <w:tcPr>
            <w:tcW w:w="3849"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0" w:after="16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Показники діяльності </w:t>
            </w:r>
          </w:p>
        </w:tc>
        <w:tc>
          <w:tcPr>
            <w:tcW w:w="1399"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0" w:after="16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2019 </w:t>
            </w:r>
            <w:r>
              <w:rPr>
                <w:rFonts w:ascii="Times New Roman" w:hAnsi="Times New Roman" w:cs="Times New Roman" w:eastAsia="Times New Roman"/>
                <w:b/>
                <w:color w:val="000000"/>
                <w:spacing w:val="0"/>
                <w:position w:val="0"/>
                <w:sz w:val="22"/>
                <w:u w:val="single"/>
                <w:shd w:fill="auto" w:val="clear"/>
              </w:rPr>
              <w:t xml:space="preserve">рік</w:t>
            </w:r>
          </w:p>
        </w:tc>
        <w:tc>
          <w:tcPr>
            <w:tcW w:w="1536"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0" w:after="16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2020 </w:t>
            </w:r>
            <w:r>
              <w:rPr>
                <w:rFonts w:ascii="Times New Roman" w:hAnsi="Times New Roman" w:cs="Times New Roman" w:eastAsia="Times New Roman"/>
                <w:b/>
                <w:color w:val="000000"/>
                <w:spacing w:val="0"/>
                <w:position w:val="0"/>
                <w:sz w:val="22"/>
                <w:u w:val="single"/>
                <w:shd w:fill="auto" w:val="clear"/>
              </w:rPr>
              <w:t xml:space="preserve">рік </w:t>
            </w:r>
          </w:p>
        </w:tc>
        <w:tc>
          <w:tcPr>
            <w:tcW w:w="1421"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0" w:after="16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Відхилення, грн</w:t>
            </w:r>
          </w:p>
        </w:tc>
        <w:tc>
          <w:tcPr>
            <w:tcW w:w="1366"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0" w:after="160" w:line="259"/>
              <w:ind w:right="0" w:left="0" w:firstLine="0"/>
              <w:jc w:val="left"/>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Відхилення у %</w:t>
            </w:r>
          </w:p>
        </w:tc>
      </w:tr>
      <w:tr>
        <w:trPr>
          <w:trHeight w:val="1" w:hRule="atLeast"/>
          <w:jc w:val="right"/>
        </w:trPr>
        <w:tc>
          <w:tcPr>
            <w:tcW w:w="38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Чистий дохід від реалізації продукції, грн.</w:t>
            </w:r>
          </w:p>
        </w:tc>
        <w:tc>
          <w:tcPr>
            <w:tcW w:w="13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406 087</w:t>
            </w:r>
          </w:p>
        </w:tc>
        <w:tc>
          <w:tcPr>
            <w:tcW w:w="15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274 879</w:t>
            </w:r>
          </w:p>
        </w:tc>
        <w:tc>
          <w:tcPr>
            <w:tcW w:w="14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131 208</w:t>
            </w:r>
          </w:p>
        </w:tc>
        <w:tc>
          <w:tcPr>
            <w:tcW w:w="13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32,31</w:t>
            </w:r>
          </w:p>
        </w:tc>
      </w:tr>
      <w:tr>
        <w:trPr>
          <w:trHeight w:val="1" w:hRule="atLeast"/>
          <w:jc w:val="right"/>
        </w:trPr>
        <w:tc>
          <w:tcPr>
            <w:tcW w:w="38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Валовий прибуток від реалізації продукції, грн.</w:t>
            </w:r>
          </w:p>
        </w:tc>
        <w:tc>
          <w:tcPr>
            <w:tcW w:w="13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152 280</w:t>
            </w:r>
          </w:p>
        </w:tc>
        <w:tc>
          <w:tcPr>
            <w:tcW w:w="15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118 690</w:t>
            </w:r>
          </w:p>
        </w:tc>
        <w:tc>
          <w:tcPr>
            <w:tcW w:w="14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33 590</w:t>
            </w:r>
          </w:p>
        </w:tc>
        <w:tc>
          <w:tcPr>
            <w:tcW w:w="13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22,06</w:t>
            </w:r>
          </w:p>
        </w:tc>
      </w:tr>
      <w:tr>
        <w:trPr>
          <w:trHeight w:val="1" w:hRule="atLeast"/>
          <w:jc w:val="right"/>
        </w:trPr>
        <w:tc>
          <w:tcPr>
            <w:tcW w:w="38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Прибуток від операційної діяльності, грн.</w:t>
            </w:r>
          </w:p>
        </w:tc>
        <w:tc>
          <w:tcPr>
            <w:tcW w:w="13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56 248</w:t>
            </w:r>
          </w:p>
        </w:tc>
        <w:tc>
          <w:tcPr>
            <w:tcW w:w="15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3 609</w:t>
            </w:r>
          </w:p>
        </w:tc>
        <w:tc>
          <w:tcPr>
            <w:tcW w:w="14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52 639</w:t>
            </w:r>
          </w:p>
        </w:tc>
        <w:tc>
          <w:tcPr>
            <w:tcW w:w="13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right"/>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93,58</w:t>
            </w:r>
          </w:p>
        </w:tc>
      </w:tr>
    </w:tbl>
    <w:p>
      <w:pPr>
        <w:spacing w:before="0" w:after="120" w:line="259"/>
        <w:ind w:right="0" w:left="0" w:firstLine="0"/>
        <w:jc w:val="left"/>
        <w:rPr>
          <w:rFonts w:ascii="Libre Franklin" w:hAnsi="Libre Franklin" w:cs="Libre Franklin" w:eastAsia="Libre Franklin"/>
          <w:color w:val="000000"/>
          <w:spacing w:val="0"/>
          <w:position w:val="0"/>
          <w:sz w:val="22"/>
          <w:u w:val="single"/>
          <w:shd w:fill="auto" w:val="clear"/>
        </w:rPr>
      </w:pP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У 2019 році Товариство отримало 31 415 тис. грн. чистого прибутку. За результатами діяльності 2020 року Товариство отримало 62 958 тис. грн. збитку.</w:t>
      </w:r>
    </w:p>
    <w:p>
      <w:pPr>
        <w:spacing w:before="0" w:after="120" w:line="259"/>
        <w:ind w:right="0" w:left="0" w:firstLine="705"/>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Значний вплив на формування фінансового результату у 2020 році мали неопераційні курсові різниці, нараховані на заборгованість по валютному кредиту та відсотках по ньому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74 999 </w:t>
      </w:r>
      <w:r>
        <w:rPr>
          <w:rFonts w:ascii="Times New Roman" w:hAnsi="Times New Roman" w:cs="Times New Roman" w:eastAsia="Times New Roman"/>
          <w:color w:val="000000"/>
          <w:spacing w:val="0"/>
          <w:position w:val="0"/>
          <w:sz w:val="24"/>
          <w:u w:val="single"/>
          <w:shd w:fill="auto" w:val="clear"/>
        </w:rPr>
        <w:t xml:space="preserve">тис. грн.</w:t>
      </w:r>
    </w:p>
    <w:p>
      <w:pPr>
        <w:spacing w:before="0" w:after="120" w:line="259"/>
        <w:ind w:right="0" w:left="0" w:firstLine="705"/>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Керівництво Товариства впевнене, що на час складання фінансової звітності воно має достатньо ресурсів</w:t>
      </w:r>
      <w:r>
        <w:rPr>
          <w:rFonts w:ascii="Calibri" w:hAnsi="Calibri" w:cs="Calibri" w:eastAsia="Calibri"/>
          <w:color w:val="000000"/>
          <w:spacing w:val="0"/>
          <w:position w:val="0"/>
          <w:sz w:val="22"/>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для забезпечення безперервної діяльності Товариства в найближчому майбутньому.</w:t>
      </w:r>
    </w:p>
    <w:p>
      <w:pPr>
        <w:spacing w:before="0" w:after="120" w:line="259"/>
        <w:ind w:right="0" w:left="0" w:firstLine="705"/>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Хоча фінансова система в країні на дату підготовки цієї фінансової звітності працює відносно стабільно, подальший розвиток подій на Сході України, тривалість і вплив пандемії COVID-19 станом на дату затвердження звітності не представляється можливим передбачити. Враховуючи вкрай невизначену і нестабільну ситуацію, прогнози можуть значно змінитися за короткий проміжок часу. </w:t>
      </w:r>
    </w:p>
    <w:p>
      <w:pPr>
        <w:spacing w:before="0" w:after="120" w:line="259"/>
        <w:ind w:right="0" w:left="0" w:firstLine="705"/>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Керівництво Товариства постійно стежить за поточним станом подій, зміною законодавства і вживає всіх необхідних заходів з метою підтримання його сталої діяльності, а також постійно оцінює свої зобов’язання, які стосуються змін та оновлення законодавства.</w:t>
      </w:r>
    </w:p>
    <w:p>
      <w:pPr>
        <w:spacing w:before="0" w:after="120" w:line="259"/>
        <w:ind w:right="0" w:left="0" w:firstLine="705"/>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Керівництво не може передбачити всі тенденції, які б могли вплинути на економіку країни, а також те, який вплив вони можуть здійснити на фінансовий стан Товариства. Керівництво впевнене, що у ситуації, яка склалася, воно вживає всіх необхідних заходів для забезпечення безперервної діяльності Товариства.</w:t>
      </w:r>
    </w:p>
    <w:p>
      <w:pPr>
        <w:spacing w:before="0" w:after="120" w:line="259"/>
        <w:ind w:right="0" w:left="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i/>
          <w:color w:val="000000"/>
          <w:spacing w:val="0"/>
          <w:position w:val="0"/>
          <w:sz w:val="24"/>
          <w:u w:val="single"/>
          <w:shd w:fill="auto" w:val="clear"/>
        </w:rPr>
        <w:t xml:space="preserve">          </w:t>
      </w:r>
      <w:r>
        <w:rPr>
          <w:rFonts w:ascii="Times New Roman" w:hAnsi="Times New Roman" w:cs="Times New Roman" w:eastAsia="Times New Roman"/>
          <w:b/>
          <w:color w:val="000000"/>
          <w:spacing w:val="0"/>
          <w:position w:val="0"/>
          <w:sz w:val="24"/>
          <w:u w:val="single"/>
          <w:shd w:fill="auto" w:val="clear"/>
        </w:rPr>
        <w:t xml:space="preserve">Оподаткування</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У результаті загальної нестабільної економічної ситуації в Україні податкові органи приділяють все більше уваги діловим колам. У зв'язку з цим податкове законодавство України постійно змінюється. Крім того, трапляються випадки його непослідовного застосування, тлумачення і виконання. Недотримання законів та нормативних актів України може призвести до накладення серйозних штрафів і пені. В результаті майбутніх податкових перевірок можуть бути виявлені додаткові зобов'язання, які не будуть відповідати податковій звітності Товариства. </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Такими зобов'язаннями можуть бути власне податки, а також штрафи і пеня; та їх розміри можуть бути істотними. У той час як Товариство вважає, що воно відобразило всі операції у відповідності з чинним податковим законодавством, існує велика кількість податкових норм і норм валютного законодавства, в яких присутня достатня кількість спірних моментів, які не завжди чітко і однозначно сформульовані.</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FFFFFF" w:val="clear"/>
        </w:rPr>
      </w:pPr>
      <w:r>
        <w:rPr>
          <w:rFonts w:ascii="Times New Roman" w:hAnsi="Times New Roman" w:cs="Times New Roman" w:eastAsia="Times New Roman"/>
          <w:color w:val="000000"/>
          <w:spacing w:val="0"/>
          <w:position w:val="0"/>
          <w:sz w:val="24"/>
          <w:u w:val="single"/>
          <w:shd w:fill="FFFFFF" w:val="clear"/>
        </w:rPr>
        <w:tab/>
      </w:r>
      <w:r>
        <w:rPr>
          <w:rFonts w:ascii="Times New Roman" w:hAnsi="Times New Roman" w:cs="Times New Roman" w:eastAsia="Times New Roman"/>
          <w:b/>
          <w:color w:val="000000"/>
          <w:spacing w:val="0"/>
          <w:position w:val="0"/>
          <w:sz w:val="24"/>
          <w:u w:val="single"/>
          <w:shd w:fill="FFFFFF" w:val="clear"/>
        </w:rPr>
        <w:t xml:space="preserve">Юридичні питання</w:t>
      </w:r>
    </w:p>
    <w:p>
      <w:pPr>
        <w:tabs>
          <w:tab w:val="left" w:pos="690" w:leader="none"/>
        </w:tabs>
        <w:spacing w:before="0" w:after="120" w:line="259"/>
        <w:ind w:right="0" w:left="3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333333"/>
          <w:spacing w:val="0"/>
          <w:position w:val="0"/>
          <w:sz w:val="24"/>
          <w:u w:val="single"/>
          <w:shd w:fill="auto" w:val="clear"/>
        </w:rPr>
        <w:tab/>
      </w:r>
      <w:r>
        <w:rPr>
          <w:rFonts w:ascii="Times New Roman" w:hAnsi="Times New Roman" w:cs="Times New Roman" w:eastAsia="Times New Roman"/>
          <w:color w:val="000000"/>
          <w:spacing w:val="0"/>
          <w:position w:val="0"/>
          <w:sz w:val="24"/>
          <w:u w:val="single"/>
          <w:shd w:fill="auto" w:val="clear"/>
        </w:rPr>
        <w:t xml:space="preserve">В процесі звичайної діяльності Товариство є позивачем і відповідачем в декількох судових справах щодо своєї господарської діяльності. Вирішення цих справ не матиме значного впливу на фінансовий стан Товариства крім судового спору із Державною податковою службою, в якому Товариство є позивачем. Товариство не погоджується із нарахуванням податку на додану вартість, податку на прибуток та штрафних санкцій в сумі 3 914 тис. грн. В судах першої та другої інстанції справа була вирішена на користь Товариства. В даний час справа знаходиться на розгляді у Касаційному адміністративному</w:t>
      </w:r>
      <w:r>
        <w:rPr>
          <w:rFonts w:ascii="Times New Roman" w:hAnsi="Times New Roman" w:cs="Times New Roman" w:eastAsia="Times New Roman"/>
          <w:color w:val="FF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суді. Товариство оцінює свої шанси на розгляд справи на свою користь як високі. Товариством було нараховано забезпечення під судові позови в розмірі 50 відсотків суми позову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1957 </w:t>
      </w:r>
      <w:r>
        <w:rPr>
          <w:rFonts w:ascii="Times New Roman" w:hAnsi="Times New Roman" w:cs="Times New Roman" w:eastAsia="Times New Roman"/>
          <w:color w:val="000000"/>
          <w:spacing w:val="0"/>
          <w:position w:val="0"/>
          <w:sz w:val="24"/>
          <w:u w:val="single"/>
          <w:shd w:fill="auto" w:val="clear"/>
        </w:rPr>
        <w:t xml:space="preserve">тис. грн., яке відображене у складі короткострокових забезпечень. </w:t>
        <w:tab/>
      </w:r>
    </w:p>
    <w:p>
      <w:pPr>
        <w:keepNext w:val="true"/>
        <w:spacing w:before="0" w:after="120" w:line="259"/>
        <w:ind w:right="0" w:left="0" w:firstLine="709"/>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29. </w:t>
      </w:r>
      <w:r>
        <w:rPr>
          <w:rFonts w:ascii="Times New Roman" w:hAnsi="Times New Roman" w:cs="Times New Roman" w:eastAsia="Times New Roman"/>
          <w:b/>
          <w:color w:val="000000"/>
          <w:spacing w:val="0"/>
          <w:position w:val="0"/>
          <w:sz w:val="24"/>
          <w:u w:val="single"/>
          <w:shd w:fill="auto" w:val="clear"/>
        </w:rPr>
        <w:t xml:space="preserve">УПРАВЛІННЯ РИЗИКАМИ</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Товариство відстежує і управляє фінансовими ризиками, які виникають в ході його діяльності. Цими ризиками є кредитний ризик, валютний ризик та ризик ліквідності.</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Основні фінансові зобов'язання Товариства включають кредити і торговельну та іншу кредиторську заборгованість. Основною метою даних фінансових зобов'язань є фінансування операцій Товариства для підтримки її діяльності. Фінансовими активами, якими володіє Товариство, є торговельна та інша дебіторська заборгованість і грошові кошти.</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Кредитний ризик</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Кредитний ризик - це ризик невиконання контрагентами договірних зобов'язань і виникнення у Товариства пов'язаних із цим збитків.</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Товариство схильне до кредитного ризику відносно торгової та іншої дебіторської заборгованості, а також інших фінансових активів.</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Товариство структурує рівень свого кредитного ризику шляхом встановлення лімітів на максимальну суму ризику щодо одного споживача або групи споживачів. Однак, ліміти щодо рівня кредитного ризику не можуть застосовуватися до усіх споживачів.</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Валютний ризик</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Валютний ризик - це ризик того, що справедлива вартість майбутніх грошових потоків за фінансовим інструментом коливатиметься внаслідок змін у валютних курсах.</w:t>
      </w:r>
    </w:p>
    <w:p>
      <w:pPr>
        <w:spacing w:before="0" w:after="120" w:line="259"/>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Схильність Товариства до ризику зміни валютних курсів, обумовлена кредитами від нерезидента, номінованими у </w:t>
      </w:r>
      <w:r>
        <w:rPr>
          <w:rFonts w:ascii="Times New Roman" w:hAnsi="Times New Roman" w:cs="Times New Roman" w:eastAsia="Times New Roman"/>
          <w:color w:val="auto"/>
          <w:spacing w:val="0"/>
          <w:position w:val="0"/>
          <w:sz w:val="24"/>
          <w:shd w:fill="auto" w:val="clear"/>
        </w:rPr>
        <w:t xml:space="preserve">вавлюті Євро</w:t>
      </w:r>
      <w:r>
        <w:rPr>
          <w:rFonts w:ascii="Times New Roman" w:hAnsi="Times New Roman" w:cs="Times New Roman" w:eastAsia="Times New Roman"/>
          <w:color w:val="000000"/>
          <w:spacing w:val="0"/>
          <w:position w:val="0"/>
          <w:sz w:val="24"/>
          <w:u w:val="single"/>
          <w:shd w:fill="auto" w:val="clear"/>
        </w:rPr>
        <w:t xml:space="preserve">, та експортно-імпортними операціями.</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Ризик ліквідності</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Підхід керівництва Товариства до вирішення проблем ліквідності </w:t>
      </w:r>
      <w:r>
        <w:rPr>
          <w:rFonts w:ascii="Times New Roman" w:hAnsi="Times New Roman" w:cs="Times New Roman" w:eastAsia="Times New Roman"/>
          <w:color w:val="000000"/>
          <w:spacing w:val="0"/>
          <w:position w:val="0"/>
          <w:sz w:val="24"/>
          <w:u w:val="single"/>
          <w:shd w:fill="auto" w:val="clear"/>
        </w:rPr>
        <w:t xml:space="preserve">ґрунтується на ефективному здійсненні операційної діяльності та залученні фінансування для покриття потреб в оборотному капіталі.</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Товариство здійснює контроль ризику нестачі грошових коштів шляхом планування поточної ліквідності. За допомогою цього інструменту аналізуються терміни платежів, пов'язаних з фінансовими активами (наприклад, дебіторська заборгованість, інші фінансові активи), а також прогнозовані грошові потоки від операційної діяльності.</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Управління капіталом</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Товариство здійснює управління капіталом для забезпечення безперервної діяльності в осяжному майбутньому і одночасної максимізації прибутку акціонерів за рахунок оптимізації співвідношення позикових і власних коштів.</w:t>
      </w:r>
    </w:p>
    <w:p>
      <w:pPr>
        <w:spacing w:before="120" w:after="120" w:line="240"/>
        <w:ind w:right="0" w:left="0" w:firstLine="708"/>
        <w:jc w:val="righ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тис. грн.</w:t>
      </w:r>
    </w:p>
    <w:tbl>
      <w:tblPr/>
      <w:tblGrid>
        <w:gridCol w:w="5495"/>
        <w:gridCol w:w="2126"/>
        <w:gridCol w:w="1950"/>
      </w:tblGrid>
      <w:tr>
        <w:trPr>
          <w:trHeight w:val="1" w:hRule="atLeast"/>
          <w:jc w:val="left"/>
        </w:trPr>
        <w:tc>
          <w:tcPr>
            <w:tcW w:w="5495"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Структура власного капіталу</w:t>
            </w:r>
          </w:p>
        </w:tc>
        <w:tc>
          <w:tcPr>
            <w:tcW w:w="2126"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31.12.2019</w:t>
            </w:r>
          </w:p>
        </w:tc>
        <w:tc>
          <w:tcPr>
            <w:tcW w:w="1950" w:type="dxa"/>
            <w:tcBorders>
              <w:top w:val="single" w:color="000000" w:sz="4"/>
              <w:left w:val="single" w:color="000000" w:sz="4"/>
              <w:bottom w:val="single" w:color="000000" w:sz="4"/>
              <w:right w:val="single" w:color="000000" w:sz="4"/>
            </w:tcBorders>
            <w:shd w:color="000000" w:fill="f2f2f2"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31.12.2020</w:t>
            </w:r>
          </w:p>
        </w:tc>
      </w:tr>
      <w:tr>
        <w:trPr>
          <w:trHeight w:val="1" w:hRule="atLeast"/>
          <w:jc w:val="left"/>
        </w:trPr>
        <w:tc>
          <w:tcPr>
            <w:tcW w:w="54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Зареєстрований капітал</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5 911</w:t>
            </w:r>
          </w:p>
        </w:tc>
        <w:tc>
          <w:tcPr>
            <w:tcW w:w="19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5 911</w:t>
            </w:r>
          </w:p>
        </w:tc>
      </w:tr>
      <w:tr>
        <w:trPr>
          <w:trHeight w:val="1" w:hRule="atLeast"/>
          <w:jc w:val="left"/>
        </w:trPr>
        <w:tc>
          <w:tcPr>
            <w:tcW w:w="54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Капітал у дооцінках</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25 456</w:t>
            </w:r>
          </w:p>
        </w:tc>
        <w:tc>
          <w:tcPr>
            <w:tcW w:w="19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24 916</w:t>
            </w:r>
          </w:p>
        </w:tc>
      </w:tr>
      <w:tr>
        <w:trPr>
          <w:trHeight w:val="1" w:hRule="atLeast"/>
          <w:jc w:val="left"/>
        </w:trPr>
        <w:tc>
          <w:tcPr>
            <w:tcW w:w="54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Додатковий капітал</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17</w:t>
            </w:r>
          </w:p>
        </w:tc>
        <w:tc>
          <w:tcPr>
            <w:tcW w:w="19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17</w:t>
            </w:r>
          </w:p>
        </w:tc>
      </w:tr>
      <w:tr>
        <w:trPr>
          <w:trHeight w:val="1" w:hRule="atLeast"/>
          <w:jc w:val="left"/>
        </w:trPr>
        <w:tc>
          <w:tcPr>
            <w:tcW w:w="54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Резервний капітал</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14 196</w:t>
            </w:r>
          </w:p>
        </w:tc>
        <w:tc>
          <w:tcPr>
            <w:tcW w:w="19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14 196</w:t>
            </w:r>
          </w:p>
        </w:tc>
      </w:tr>
      <w:tr>
        <w:trPr>
          <w:trHeight w:val="1" w:hRule="atLeast"/>
          <w:jc w:val="left"/>
        </w:trPr>
        <w:tc>
          <w:tcPr>
            <w:tcW w:w="54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Нерозподілений прибуток</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253 725</w:t>
            </w:r>
          </w:p>
        </w:tc>
        <w:tc>
          <w:tcPr>
            <w:tcW w:w="19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190 433</w:t>
            </w:r>
          </w:p>
        </w:tc>
      </w:tr>
      <w:tr>
        <w:trPr>
          <w:trHeight w:val="1" w:hRule="atLeast"/>
          <w:jc w:val="left"/>
        </w:trPr>
        <w:tc>
          <w:tcPr>
            <w:tcW w:w="54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Разом</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299 305</w:t>
            </w:r>
          </w:p>
        </w:tc>
        <w:tc>
          <w:tcPr>
            <w:tcW w:w="19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59"/>
              <w:ind w:right="0" w:left="0" w:firstLine="0"/>
              <w:jc w:val="both"/>
              <w:rPr>
                <w:spacing w:val="0"/>
                <w:position w:val="0"/>
                <w:sz w:val="22"/>
              </w:rPr>
            </w:pPr>
            <w:r>
              <w:rPr>
                <w:rFonts w:ascii="Times New Roman" w:hAnsi="Times New Roman" w:cs="Times New Roman" w:eastAsia="Times New Roman"/>
                <w:b/>
                <w:color w:val="000000"/>
                <w:spacing w:val="0"/>
                <w:position w:val="0"/>
                <w:sz w:val="22"/>
                <w:u w:val="single"/>
                <w:shd w:fill="auto" w:val="clear"/>
              </w:rPr>
              <w:t xml:space="preserve">235 473</w:t>
            </w:r>
          </w:p>
        </w:tc>
      </w:tr>
    </w:tbl>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Товариство управляє своїм капіталом для забезпечення збереження капіталу та безперервної діяльності Товариства в майбутньому. Керівництво Товариства регулярно переглядає структуру свого капіталу. </w:t>
      </w:r>
    </w:p>
    <w:p>
      <w:pPr>
        <w:keepNext w:val="true"/>
        <w:tabs>
          <w:tab w:val="left" w:pos="0" w:leader="none"/>
        </w:tabs>
        <w:spacing w:before="0" w:after="120" w:line="259"/>
        <w:ind w:right="0" w:left="720" w:firstLine="0"/>
        <w:jc w:val="left"/>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30. </w:t>
      </w:r>
      <w:r>
        <w:rPr>
          <w:rFonts w:ascii="Times New Roman" w:hAnsi="Times New Roman" w:cs="Times New Roman" w:eastAsia="Times New Roman"/>
          <w:b/>
          <w:color w:val="000000"/>
          <w:spacing w:val="0"/>
          <w:position w:val="0"/>
          <w:sz w:val="24"/>
          <w:u w:val="single"/>
          <w:shd w:fill="auto" w:val="clear"/>
        </w:rPr>
        <w:t xml:space="preserve">ПОДІЇ ПІСЛЯ ЗВІТНОЇ ДАТИ</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01 </w:t>
      </w:r>
      <w:r>
        <w:rPr>
          <w:rFonts w:ascii="Times New Roman" w:hAnsi="Times New Roman" w:cs="Times New Roman" w:eastAsia="Times New Roman"/>
          <w:color w:val="000000"/>
          <w:spacing w:val="0"/>
          <w:position w:val="0"/>
          <w:sz w:val="24"/>
          <w:u w:val="single"/>
          <w:shd w:fill="auto" w:val="clear"/>
        </w:rPr>
        <w:t xml:space="preserve">лютого 2021 року Верховним Судом у складі колегії суддів Касаційного адміністративного суду було відкрито касаційне провадження за касаційною скаргою Державної податкової служби про відміну рішення судів попередніх інстанцій щодо відміни податкових повідомлень-рішень на загальну суму 3 914 тис. грн. Товариство вважає цю подію коригуючою, тому створило забезпечення під судові позови</w:t>
      </w:r>
      <w:r>
        <w:rPr>
          <w:rFonts w:ascii="Calibri" w:hAnsi="Calibri" w:cs="Calibri" w:eastAsia="Calibri"/>
          <w:color w:val="000000"/>
          <w:spacing w:val="0"/>
          <w:position w:val="0"/>
          <w:sz w:val="22"/>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в розмірі 50 відсотків суми позову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1 957 </w:t>
      </w:r>
      <w:r>
        <w:rPr>
          <w:rFonts w:ascii="Times New Roman" w:hAnsi="Times New Roman" w:cs="Times New Roman" w:eastAsia="Times New Roman"/>
          <w:color w:val="000000"/>
          <w:spacing w:val="0"/>
          <w:position w:val="0"/>
          <w:sz w:val="24"/>
          <w:u w:val="single"/>
          <w:shd w:fill="auto" w:val="clear"/>
        </w:rPr>
        <w:t xml:space="preserve">тис. грн. Інформація про це зазначена у розділі цих приміток 28. "Умовні та контрактні зобов’язання. Юридичні питання". </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Після 31 грудня 2020 року до дати затвердження керівництвом фінансової звітності не відбувалося інших подій, які могли би вплинути на фінансовий стан Товариства.</w:t>
      </w:r>
    </w:p>
    <w:p>
      <w:pPr>
        <w:spacing w:before="0" w:after="120" w:line="259"/>
        <w:ind w:right="0" w:left="0" w:firstLine="708"/>
        <w:jc w:val="both"/>
        <w:rPr>
          <w:rFonts w:ascii="Times New Roman" w:hAnsi="Times New Roman" w:cs="Times New Roman" w:eastAsia="Times New Roman"/>
          <w:color w:val="000000"/>
          <w:spacing w:val="0"/>
          <w:position w:val="0"/>
          <w:sz w:val="24"/>
          <w:u w:val="single"/>
          <w:shd w:fill="auto" w:val="clear"/>
        </w:rPr>
      </w:pPr>
    </w:p>
    <w:tbl>
      <w:tblPr/>
      <w:tblGrid>
        <w:gridCol w:w="5637"/>
        <w:gridCol w:w="3934"/>
      </w:tblGrid>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Голова Правління</w:t>
            </w: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Літвін Денис Васильович</w:t>
            </w:r>
          </w:p>
        </w:tc>
      </w:tr>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0"/>
              <w:jc w:val="both"/>
              <w:rPr>
                <w:spacing w:val="0"/>
                <w:position w:val="0"/>
                <w:sz w:val="22"/>
              </w:rPr>
            </w:pP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5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Головний бухгалтер</w:t>
            </w:r>
          </w:p>
        </w:tc>
        <w:tc>
          <w:tcPr>
            <w:tcW w:w="39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spacing w:val="0"/>
                <w:position w:val="0"/>
                <w:sz w:val="22"/>
              </w:rPr>
            </w:pPr>
            <w:r>
              <w:rPr>
                <w:rFonts w:ascii="Times New Roman" w:hAnsi="Times New Roman" w:cs="Times New Roman" w:eastAsia="Times New Roman"/>
                <w:color w:val="000000"/>
                <w:spacing w:val="0"/>
                <w:position w:val="0"/>
                <w:sz w:val="22"/>
                <w:u w:val="single"/>
                <w:shd w:fill="auto" w:val="clear"/>
              </w:rPr>
              <w:t xml:space="preserve">Майборода Лариса Іванівна</w:t>
            </w:r>
          </w:p>
        </w:tc>
      </w:tr>
    </w:tbl>
    <w:p>
      <w:pPr>
        <w:spacing w:before="120" w:after="120" w:line="259"/>
        <w:ind w:right="0" w:left="0" w:firstLine="0"/>
        <w:jc w:val="left"/>
        <w:rPr>
          <w:rFonts w:ascii="Calibri" w:hAnsi="Calibri" w:cs="Calibri" w:eastAsia="Calibri"/>
          <w:color w:val="000000"/>
          <w:spacing w:val="0"/>
          <w:position w:val="0"/>
          <w:sz w:val="22"/>
          <w:u w:val="single"/>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num w:numId="60">
    <w:abstractNumId w:val="120"/>
  </w:num>
  <w:num w:numId="86">
    <w:abstractNumId w:val="114"/>
  </w:num>
  <w:num w:numId="88">
    <w:abstractNumId w:val="108"/>
  </w:num>
  <w:num w:numId="93">
    <w:abstractNumId w:val="102"/>
  </w:num>
  <w:num w:numId="159">
    <w:abstractNumId w:val="96"/>
  </w:num>
  <w:num w:numId="164">
    <w:abstractNumId w:val="90"/>
  </w:num>
  <w:num w:numId="413">
    <w:abstractNumId w:val="84"/>
  </w:num>
  <w:num w:numId="427">
    <w:abstractNumId w:val="78"/>
  </w:num>
  <w:num w:numId="651">
    <w:abstractNumId w:val="72"/>
  </w:num>
  <w:num w:numId="664">
    <w:abstractNumId w:val="66"/>
  </w:num>
  <w:num w:numId="853">
    <w:abstractNumId w:val="60"/>
  </w:num>
  <w:num w:numId="975">
    <w:abstractNumId w:val="54"/>
  </w:num>
  <w:num w:numId="1098">
    <w:abstractNumId w:val="48"/>
  </w:num>
  <w:num w:numId="1101">
    <w:abstractNumId w:val="42"/>
  </w:num>
  <w:num w:numId="1105">
    <w:abstractNumId w:val="36"/>
  </w:num>
  <w:num w:numId="1108">
    <w:abstractNumId w:val="30"/>
  </w:num>
  <w:num w:numId="1128">
    <w:abstractNumId w:val="24"/>
  </w:num>
  <w:num w:numId="1132">
    <w:abstractNumId w:val="18"/>
  </w:num>
  <w:num w:numId="1145">
    <w:abstractNumId w:val="12"/>
  </w:num>
  <w:num w:numId="1148">
    <w:abstractNumId w:val="6"/>
  </w:num>
  <w:num w:numId="115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apu.com.ua/2018/10/01/%d1%80%d0%b5%d1%94%d1%81%d1%82%d1%80-%d0%b0%d1%83%d0%b4%d0%b8%d1%82%d0%be%d1%80%d1%96%d0%b2-%d1%82%d0%b0-%d1%81%d1%83%d0%b1%d1%94%d0%ba%d1%82%d1%96%d0%b2-%d0%b0%d1%83%d0%b4%d0%b8%d1%82%d0%be%d1%80/"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