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10988.0" w:type="dxa"/>
        <w:jc w:val="left"/>
        <w:tblInd w:w="-108.0" w:type="dxa"/>
        <w:tblLayout w:type="fixed"/>
        <w:tblLook w:val="0000"/>
      </w:tblPr>
      <w:tblGrid>
        <w:gridCol w:w="10988"/>
        <w:tblGridChange w:id="0">
          <w:tblGrid>
            <w:gridCol w:w="10988"/>
          </w:tblGrid>
        </w:tblGridChange>
      </w:tblGrid>
      <w:tr>
        <w:trPr>
          <w:cantSplit w:val="0"/>
          <w:trHeight w:val="558" w:hRule="atLeast"/>
          <w:tblHeader w:val="0"/>
        </w:trPr>
        <w:tc>
          <w:tcPr>
            <w:vAlign w:val="top"/>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ПОВІДОМЛЕННЯ</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про проведення річних Загальних Зборів Акціонерів</w:t>
            </w:r>
          </w:p>
        </w:tc>
      </w:tr>
      <w:tr>
        <w:trPr>
          <w:cantSplit w:val="0"/>
          <w:trHeight w:val="842" w:hRule="atLeast"/>
          <w:tblHeader w:val="0"/>
        </w:trPr>
        <w:tc>
          <w:tcPr>
            <w:vAlign w:val="top"/>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АКЦІОНЕРАМ ПРИВАТНОГО АКЦІОНЕРНОГО ТОВАРИСТВА «ВАТУТІНСЬКИЙ КОМБІНАТ ВОГНЕТРИВІВ»</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(код ЄДРПОУ 00191916, місцезнаходження</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20254, Україна, Черкаська обл., м. Ватутіне,  вул. Індустріальна, 11)</w:t>
            </w:r>
          </w:p>
        </w:tc>
      </w:tr>
      <w:tr>
        <w:trPr>
          <w:cantSplit w:val="0"/>
          <w:tblHeader w:val="0"/>
        </w:trPr>
        <w:tc>
          <w:tcPr>
            <w:vAlign w:val="top"/>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(надалі – «Товариство», або ПрАТ «ВКВ»)</w:t>
            </w:r>
          </w:p>
        </w:tc>
      </w:tr>
      <w:tr>
        <w:trPr>
          <w:cantSplit w:val="0"/>
          <w:tblHeader w:val="0"/>
        </w:trPr>
        <w:tc>
          <w:tcPr>
            <w:vAlign w:val="top"/>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Товариство повідомляє про прийняття Наглядовою радою ПрАТ «ВКВ» рішення (протокол №206 від 28.10.2022 р.) про проведення дистанційних річних Загальних Зборів Акціонерів Товариства (далі – «</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Збори</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Відповідне рішення прийнято Наглядовою радою ПрАТ «ВКВ» </w:t>
            </w:r>
            <w:r w:rsidDel="00000000" w:rsidR="00000000" w:rsidRPr="00000000">
              <w:rPr>
                <w:rFonts w:ascii="Times New Roman" w:cs="Times New Roman" w:eastAsia="Times New Roman" w:hAnsi="Times New Roman"/>
                <w:b w:val="0"/>
                <w:i w:val="0"/>
                <w:smallCaps w:val="0"/>
                <w:strike w:val="0"/>
                <w:color w:val="0070c0"/>
                <w:sz w:val="21"/>
                <w:szCs w:val="21"/>
                <w:u w:val="none"/>
                <w:shd w:fill="auto" w:val="clear"/>
                <w:vertAlign w:val="baseline"/>
                <w:rtl w:val="0"/>
              </w:rPr>
              <w:t xml:space="preserve">у зв’язку з введенням на території України воєнного стану відповідно до Указу Президента України від 24.02.2022 № 64/2022 “Про введення воєнного стану в Україні</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керуючись Тимчасовим порядком скликання та дистанційного проведення загальних зборів акціонерів та загальних зборів учасників корпоративного інвестиційного фонду, затвердженим рішенням Національної комісії з цінних паперів та фондового ринку від 16.04.2020 року № 196 зі змінами (далі – «</w:t>
            </w:r>
            <w:r w:rsidDel="00000000" w:rsidR="00000000" w:rsidRPr="00000000">
              <w:rPr>
                <w:rFonts w:ascii="Times New Roman" w:cs="Times New Roman" w:eastAsia="Times New Roman" w:hAnsi="Times New Roman"/>
                <w:b w:val="1"/>
                <w:i w:val="1"/>
                <w:smallCaps w:val="0"/>
                <w:strike w:val="0"/>
                <w:color w:val="000000"/>
                <w:sz w:val="21"/>
                <w:szCs w:val="21"/>
                <w:u w:val="none"/>
                <w:shd w:fill="auto" w:val="clear"/>
                <w:vertAlign w:val="baseline"/>
                <w:rtl w:val="0"/>
              </w:rPr>
              <w:t xml:space="preserve">Тимчасовий порядок»</w:t>
            </w: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w:t>
            </w:r>
          </w:p>
        </w:tc>
      </w:tr>
      <w:tr>
        <w:trPr>
          <w:cantSplit w:val="0"/>
          <w:tblHeader w:val="0"/>
        </w:trPr>
        <w:tc>
          <w:tcPr>
            <w:vAlign w:val="top"/>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Відповідне рішення прийнято Наглядовою радою ПрАТ «ВКВ» у зв’язку з введенням на території України воєнного стану відповідно до Указу Президента України від 24.02.2022 № 64/2022 “Про введення воєнного стану в Україні”, керуючись Тимчасовим порядком скликання та дистанційного проведення загальних зборів акціонерів та загальних зборів учасників корпоративного інвестиційного фонду, затвердженим рішенням Національної комісії з цінних паперів та фондового ринку від 16.04.2020 року № 196 зі змінами (далі – «Тимчасовий порядок»).</w:t>
            </w:r>
          </w:p>
        </w:tc>
      </w:tr>
      <w:tr>
        <w:trPr>
          <w:cantSplit w:val="0"/>
          <w:tblHeader w:val="0"/>
        </w:trPr>
        <w:tc>
          <w:tcPr>
            <w:vAlign w:val="top"/>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Дата проведення дистанційних річних Загальних Зборів Акціонерів Товариства (дата завершення голосування), що будуть проведені у відповідності до Тимчасового порядку: «28» грудня 2022 року.</w:t>
            </w:r>
          </w:p>
        </w:tc>
      </w:tr>
      <w:tr>
        <w:trPr>
          <w:cantSplit w:val="0"/>
          <w:tblHeader w:val="0"/>
        </w:trPr>
        <w:tc>
          <w:tcPr>
            <w:vAlign w:val="top"/>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Дата складання переліку акціонерів, які мають право на участь у загальних зборах: на 24:00 годину «22» грудня 2022 року. Дата початку голосування акціонерів з відповідних питань порядку денного: 18 грудня 2022 року - дата розміщення бюлетеню (бюлетенів) для голосування у вільному для акціонерів доступі на власному веб-сайті ПрАТ «ВКВ» (</w:t>
            </w:r>
            <w:hyperlink r:id="rId6">
              <w:r w:rsidDel="00000000" w:rsidR="00000000" w:rsidRPr="00000000">
                <w:rPr>
                  <w:rFonts w:ascii="Times New Roman" w:cs="Times New Roman" w:eastAsia="Times New Roman" w:hAnsi="Times New Roman"/>
                  <w:b w:val="0"/>
                  <w:i w:val="0"/>
                  <w:smallCaps w:val="0"/>
                  <w:strike w:val="0"/>
                  <w:color w:val="0000ff"/>
                  <w:sz w:val="21"/>
                  <w:szCs w:val="21"/>
                  <w:u w:val="single"/>
                  <w:shd w:fill="auto" w:val="clear"/>
                  <w:vertAlign w:val="baseline"/>
                  <w:rtl w:val="0"/>
                </w:rPr>
                <w:t xml:space="preserve">http://vkv.emitents.net.ua</w:t>
              </w:r>
            </w:hyperlink>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 у розділі «Повідомлення» за посиланням </w:t>
            </w:r>
            <w:hyperlink r:id="rId7">
              <w:r w:rsidDel="00000000" w:rsidR="00000000" w:rsidRPr="00000000">
                <w:rPr>
                  <w:rFonts w:ascii="Times New Roman" w:cs="Times New Roman" w:eastAsia="Times New Roman" w:hAnsi="Times New Roman"/>
                  <w:b w:val="0"/>
                  <w:i w:val="0"/>
                  <w:smallCaps w:val="0"/>
                  <w:strike w:val="0"/>
                  <w:color w:val="0000ff"/>
                  <w:sz w:val="21"/>
                  <w:szCs w:val="21"/>
                  <w:u w:val="single"/>
                  <w:shd w:fill="auto" w:val="clear"/>
                  <w:vertAlign w:val="baseline"/>
                  <w:rtl w:val="0"/>
                </w:rPr>
                <w:t xml:space="preserve">http://vkv.emitents.net.ua/ua/mess</w:t>
              </w:r>
            </w:hyperlink>
            <w:r w:rsidDel="00000000" w:rsidR="00000000" w:rsidRPr="00000000">
              <w:rPr>
                <w:rFonts w:ascii="Times New Roman" w:cs="Times New Roman" w:eastAsia="Times New Roman" w:hAnsi="Times New Roman"/>
                <w:b w:val="0"/>
                <w:i w:val="0"/>
                <w:smallCaps w:val="0"/>
                <w:strike w:val="0"/>
                <w:color w:val="000000"/>
                <w:sz w:val="21"/>
                <w:szCs w:val="21"/>
                <w:u w:val="none"/>
                <w:shd w:fill="auto" w:val="clear"/>
                <w:vertAlign w:val="baseline"/>
                <w:rtl w:val="0"/>
              </w:rPr>
              <w:t xml:space="preserve">.</w:t>
            </w:r>
          </w:p>
        </w:tc>
      </w:tr>
      <w:tr>
        <w:trPr>
          <w:cantSplit w:val="0"/>
          <w:tblHeader w:val="0"/>
        </w:trPr>
        <w:tc>
          <w:tcPr>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1"/>
                <w:szCs w:val="21"/>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1"/>
                <w:szCs w:val="21"/>
                <w:u w:val="none"/>
                <w:shd w:fill="auto" w:val="clear"/>
                <w:vertAlign w:val="baseline"/>
                <w:rtl w:val="0"/>
              </w:rPr>
              <w:t xml:space="preserve">                                                              Проект порядку денного</w:t>
            </w:r>
            <w:r w:rsidDel="00000000" w:rsidR="00000000" w:rsidRPr="00000000">
              <w:rPr>
                <w:rtl w:val="0"/>
              </w:rPr>
            </w:r>
          </w:p>
        </w:tc>
      </w:tr>
      <w:tr>
        <w:trPr>
          <w:cantSplit w:val="0"/>
          <w:tblHeader w:val="0"/>
        </w:trPr>
        <w:tc>
          <w:tcPr>
            <w:vAlign w:val="top"/>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Розгляд Звіту Правління ПрАТ «ВКВ» про підсумки господарської діяльності Товариства у 2021 році,  затвердження заходів та прийняття рішення за результатами його розгляду.</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Проект рішення:«1. Звіт Правління ПрАТ «ВКВ» «Про підсумки господарської діяльності ПрАТ «ВКВ» у 2021 році, заходи та рішення за  результатами його розгляду – затвердити».</w:t>
            </w:r>
          </w:p>
        </w:tc>
      </w:tr>
      <w:tr>
        <w:trPr>
          <w:cantSplit w:val="0"/>
          <w:tblHeader w:val="0"/>
        </w:trPr>
        <w:tc>
          <w:tcPr>
            <w:vAlign w:val="top"/>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2.Звіт Наглядової ради ПрАТ «ВКВ» за 2021 рік, затвердження заходів та прийняття рішення за результатами його розгляду.</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Проект рішення:«2. Звіт Наглядової Ради ПрАТ «ВКВ» за 2021 рік, заходи та рішення за результатами його розгляду – затвердити».</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3.Затвердження Звіту та висновків Ревізійної комісії ПрАТ «ВКВ» за 2021 рік, прийняття рішення за наслідками </w:t>
            </w:r>
            <w:r w:rsidDel="00000000" w:rsidR="00000000" w:rsidRPr="00000000">
              <w:rPr>
                <w:rtl w:val="0"/>
              </w:rPr>
            </w:r>
          </w:p>
          <w:tbl>
            <w:tblPr>
              <w:tblStyle w:val="Table2"/>
              <w:tblW w:w="10772.0" w:type="dxa"/>
              <w:jc w:val="left"/>
              <w:tblLayout w:type="fixed"/>
              <w:tblLook w:val="0000"/>
            </w:tblPr>
            <w:tblGrid>
              <w:gridCol w:w="10772"/>
              <w:tblGridChange w:id="0">
                <w:tblGrid>
                  <w:gridCol w:w="10772"/>
                </w:tblGrid>
              </w:tblGridChange>
            </w:tblGrid>
            <w:tr>
              <w:trPr>
                <w:cantSplit w:val="0"/>
                <w:tblHeader w:val="0"/>
              </w:trPr>
              <w:tc>
                <w:tcPr>
                  <w:vAlign w:val="top"/>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Звіт Ревізійної комісії ПрАТ «ВКВ» за 2021 рік та висновки Ревізійної комісії ПрАТ «ВКВ» по звіту і балансу ПрАТ «ВКВ» за 2021 рік– затвердити».</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4.Розгляд висновків зовнішнього аудиту за 2021 рік та затвердження заходів за результатами його розгляду.</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Висновки зовнішнього аудиту за 2021 рік та заходи за результатами його розгляду – затвердити.»</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5.Затвердження річної фінансової звітності ПрАТ «ВКВ» за 2021 рік.</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«5. Річну фінансову звітність ПрАТ «ВКВ» за 2021 рік – затвердити».</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6.Про розподіл прибутку (покриття збитків) за підсумками роботи Товариства за 2021 рік.</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«За підсумками 2021 року Товариством було отримано збиток у сумі 47 192 тисяч гривень. Оскільки Товариство отримало збитки, то дивіденди не нараховувати та не сплачувати».</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7. Про  вчинення Товариством значних правочинів.</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 </w:t>
                  </w: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«7.Згідно ст. 70 Закону України "Про акцiонернi товариства" надати попередню згоду  на вчинення Товариством значних правочинiв:</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65a3"/>
                      <w:sz w:val="22"/>
                      <w:szCs w:val="22"/>
                      <w:u w:val="none"/>
                      <w:shd w:fill="dfe2e7"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7.1.на поставку своєї продукції: компанії «Імерис Ріфракторі Мінералз Клерак» на загальну суму, що не перевищуватиме  350 000 000,00 (триста п’ятдесят мільйонів) гривень або еквівалент цієї суми у іншій валюті;</w:t>
                  </w:r>
                  <w:r w:rsidDel="00000000" w:rsidR="00000000" w:rsidRPr="00000000">
                    <w:rPr>
                      <w:rFonts w:ascii="Times New Roman" w:cs="Times New Roman" w:eastAsia="Times New Roman" w:hAnsi="Times New Roman"/>
                      <w:b w:val="0"/>
                      <w:i w:val="1"/>
                      <w:smallCaps w:val="0"/>
                      <w:strike w:val="0"/>
                      <w:color w:val="0065a3"/>
                      <w:sz w:val="22"/>
                      <w:szCs w:val="22"/>
                      <w:u w:val="none"/>
                      <w:shd w:fill="dfe2e7"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та іншим контрагентам на загальну суму, що не перевищуватиме 300 000 000,00 (триста мільйонів) гривень або еквівалент цієї суми у іншій валюті;</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65a3"/>
                      <w:sz w:val="22"/>
                      <w:szCs w:val="22"/>
                      <w:u w:val="none"/>
                      <w:shd w:fill="dfe2e7"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65a3"/>
                      <w:sz w:val="22"/>
                      <w:szCs w:val="22"/>
                      <w:u w:val="none"/>
                      <w:shd w:fill="dfe2e7"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7.2.на закупівлю послуг по збуту своєї продукції на загальну суму, що не перевищуватиме 150 000 000,00 (сто п’ятдесят  мільйонів) грн. або еквівалент цієї суми у іншій валюті</w:t>
                  </w: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7.3.на придбання послуг та товарів для комбінату для забезпечення потреб виробництва продукції на загальну суму, що не перевищуватиме 600 000 000 (шістсот мільйонів) гривень або еквівалент цієї суми у іншій валюті;</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7.4. на інші значні правочини, якщо гранична вартiсть майна або послуг, що є або буде предметом даних правочинiв буде становити вiд 25% до 50% вартостi активiв Товариства за даними рiчної фiнансової звiтностi за 2021 рiк, включаючи: </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7.4.1. правочини для забезпечення потреб виробництва: придбання сировини (каоліну), закупівлю газу, закупівлю альтернативного палива; закупівлю електричної енергії, придбання паливно-мастильних матеріалів, укладення договорів оренди;</w:t>
                  </w: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7.4.2 кредитнi та депозитнi правочини, або змiни до них;</w:t>
                  </w: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7.4.3 правочини щодо розпорядження нерухомiстю (придбання, продажу, оренди (суборенди);</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7.4.4. правочини щодо розпорядження рухомим майном.</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Пiд значним правочином слiд, також, розумiти вчинення пов'язаних з значними правочинами будь-яких iнших правочинiв, договорiв i документiв, додаткових угод (доповнень) до дiючих договорiв (угод/контрактiв), що були укладенi Товариством або будуть вчинятися Товариством не пiзнiше наступних рiчних загальних зборiв акцiонерiв. Надати попередню згоду на укладення вищезазначених значних правочинів протягом 1-го року з моменту проведення Зборів, з можливим збільшенням суми будь-якого такого значного правочину в залежності від кон’юнктури ринку, але не більше ніж на 15% від початкової суми такого  значного правочину.</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8.Про відкликання членів Наглядової Ради Товариства.</w:t>
            </w: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 </w:t>
            </w: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Відкликати зі складу Наглядової Ради</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86"/>
              </w:tabs>
              <w:spacing w:after="0" w:before="0" w:line="240" w:lineRule="auto"/>
              <w:ind w:left="2" w:right="0" w:hanging="2"/>
              <w:jc w:val="left"/>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П'єр Фуше (Голова НР)</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86"/>
              </w:tabs>
              <w:spacing w:after="0" w:before="0" w:line="240" w:lineRule="auto"/>
              <w:ind w:left="2" w:right="0" w:hanging="2"/>
              <w:jc w:val="left"/>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Максим Бодін </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tabs>
                <w:tab w:val="left" w:pos="986"/>
              </w:tabs>
              <w:spacing w:after="0" w:before="0" w:line="240" w:lineRule="auto"/>
              <w:ind w:left="2" w:right="0" w:hanging="2"/>
              <w:jc w:val="left"/>
              <w:rPr>
                <w:b w:val="0"/>
                <w:i w:val="0"/>
                <w:smallCaps w:val="0"/>
                <w:strike w:val="0"/>
                <w:color w:val="000000"/>
                <w:sz w:val="22"/>
                <w:szCs w:val="22"/>
                <w:u w:val="none"/>
                <w:shd w:fill="auto" w:val="clear"/>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Вінсент Коуті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9.Про обрання членів Наглядової Ради Товариства</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Проект ріщення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«Обрати до складу Наглядової Ради  ПрАТ «ВКВ» наступних членів</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86"/>
              </w:tabs>
              <w:spacing w:after="0" w:before="0" w:line="276" w:lineRule="auto"/>
              <w:ind w:left="2"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П'єр Фуше </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86"/>
              </w:tabs>
              <w:spacing w:after="0" w:before="0" w:line="276" w:lineRule="auto"/>
              <w:ind w:left="2"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 Вінсент Коуті </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pos="986"/>
              </w:tabs>
              <w:spacing w:after="0" w:before="0" w:line="276" w:lineRule="auto"/>
              <w:ind w:left="36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222222"/>
                <w:sz w:val="22"/>
                <w:szCs w:val="22"/>
                <w:u w:val="none"/>
                <w:shd w:fill="auto" w:val="clear"/>
                <w:vertAlign w:val="baseline"/>
                <w:rtl w:val="0"/>
              </w:rPr>
              <w:t xml:space="preserve">            - Стефан Буше</w:t>
            </w:r>
            <w:r w:rsidDel="00000000" w:rsidR="00000000" w:rsidRPr="00000000">
              <w:rPr>
                <w:rtl w:val="0"/>
              </w:rPr>
            </w:r>
          </w:p>
          <w:tbl>
            <w:tblPr>
              <w:tblStyle w:val="Table3"/>
              <w:tblW w:w="10772.0" w:type="dxa"/>
              <w:jc w:val="left"/>
              <w:tblLayout w:type="fixed"/>
              <w:tblLook w:val="0000"/>
            </w:tblPr>
            <w:tblGrid>
              <w:gridCol w:w="10772"/>
              <w:tblGridChange w:id="0">
                <w:tblGrid>
                  <w:gridCol w:w="10772"/>
                </w:tblGrid>
              </w:tblGridChange>
            </w:tblGrid>
            <w:tr>
              <w:trPr>
                <w:cantSplit w:val="0"/>
                <w:tblHeader w:val="0"/>
              </w:trPr>
              <w:tc>
                <w:tcPr>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ff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10. Про відкликання членів Ревізійної комісії Товариства</w:t>
                  </w:r>
                  <w:r w:rsidDel="00000000" w:rsidR="00000000" w:rsidRPr="00000000">
                    <w:rPr>
                      <w:rFonts w:ascii="Times New Roman" w:cs="Times New Roman" w:eastAsia="Times New Roman" w:hAnsi="Times New Roman"/>
                      <w:b w:val="1"/>
                      <w:i w:val="0"/>
                      <w:smallCaps w:val="0"/>
                      <w:strike w:val="0"/>
                      <w:color w:val="ff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26"/>
                      <w:tab w:val="left" w:pos="851"/>
                      <w:tab w:val="left" w:pos="993"/>
                    </w:tabs>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«8. Відкликати зі складу Ревізійної комісії Товариства: Вассо Клотильду; Ходикіна Ярослава Сергійовича».</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11. Про обрання членів Ревізійної комісії Товариства.</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161" w:hRule="atLeast"/>
                <w:tblHeader w:val="0"/>
              </w:trPr>
              <w:tc>
                <w:tcP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Проект рішення:</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«9. Обрати до складу Ревізійної комісії ПрАТ «ВКВ» наступних членів: Вассо Клотильду;  Ходикіна Ярослава Сергійовича , Снітко Катерину Сергійовну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563c1"/>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Адреса сторінки на власному веб-сайті ПрАТ «ВКВ»</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http://vkv.emitents.net.ua/ua/mess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на якій розміщені повідомлення про проведення Загальних зборів,</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інформація про загальну кількість акцій та кількість голосуючих акцій станом на дату складання переліку осіб, яким надсилається повідомлення про проведення загальних зборів, перелік документів, що має надати акціонер (представник акціонера) для його участі у Загальних зборах –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http://vkv.emitents.net.ua/ua/mess</w:t>
                    </w:r>
                  </w:hyperlink>
                  <w:r w:rsidDel="00000000" w:rsidR="00000000" w:rsidRPr="00000000">
                    <w:rPr>
                      <w:rFonts w:ascii="Times New Roman" w:cs="Times New Roman" w:eastAsia="Times New Roman" w:hAnsi="Times New Roman"/>
                      <w:b w:val="0"/>
                      <w:i w:val="0"/>
                      <w:smallCaps w:val="0"/>
                      <w:strike w:val="0"/>
                      <w:color w:val="0563c1"/>
                      <w:sz w:val="20"/>
                      <w:szCs w:val="20"/>
                      <w:u w:val="none"/>
                      <w:shd w:fill="auto" w:val="clear"/>
                      <w:vertAlign w:val="baseline"/>
                      <w:rtl w:val="0"/>
                    </w:rPr>
                    <w:t xml:space="preserve">.</w:t>
                  </w:r>
                </w:p>
              </w:tc>
            </w:tr>
          </w:tbl>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Кожен акціонер має право отримати, а Товариство зобов'язане на його запит надати в формі електронних документів (копій документів), безкоштовно документи, з якими акціонери можуть ознайомитися під час підготовки до Зборів. Від дати надсилання повідомлення про проведення Зборів до дати проведення Зборів Товариство надає акціонерам можливість ознайомитися з документами, необхідними для прийняття рішень з питань порядку денного шляхом направлення документів акціонеру на його запит засобами електронної пошти office@vkv.com.ua.</w:t>
              <w:br w:type="textWrapping"/>
              <w:t xml:space="preserve">Запит акціонера на ознайомлення з документами, необхідними акціонерам для прийняття рішень з питань порядку денного, та/або із запитаннями щодо порядку денного загальних зборів та/або з пропозиціями до порядку денного загальних зборів та проектів рішень має бути підписаний кваліфікованим електронним підписом такого акціонера (іншим засобом, що забезпечує ідентифікацію та підтвердження направлення документу особою) та направлений на адресу електронної пошти office@vkv.com.ua.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У разі отримання належним чином оформленого запиту від акціонера, особа, відповідальна за ознайомлення акціонерів з відповідними документами, направляє такі документи на адресу електронної пошти акціонера, з якої направлено запит із засвідченням документів кваліфікованим електронним підписом.</w:t>
            </w:r>
          </w:p>
          <w:tbl>
            <w:tblPr>
              <w:tblStyle w:val="Table4"/>
              <w:tblW w:w="10772.0" w:type="dxa"/>
              <w:jc w:val="left"/>
              <w:tblLayout w:type="fixed"/>
              <w:tblLook w:val="0000"/>
            </w:tblPr>
            <w:tblGrid>
              <w:gridCol w:w="10772"/>
              <w:tblGridChange w:id="0">
                <w:tblGrid>
                  <w:gridCol w:w="10772"/>
                </w:tblGrid>
              </w:tblGridChange>
            </w:tblGrid>
            <w:tr>
              <w:trPr>
                <w:cantSplit w:val="0"/>
                <w:tblHeader w:val="0"/>
              </w:trPr>
              <w:tc>
                <w:tcPr>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Товариство до дати проведення Зборів надає відповіді на запитання акціонерів щодо питань, включених до проекту порядку денного Зборів та порядку денного Зборів. Відповідні запити направляються акціонерами на адресу електронної пошти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office@vkv.com.ua</w:t>
                    </w:r>
                  </w:hyperlink>
                  <w:r w:rsidDel="00000000" w:rsidR="00000000" w:rsidRPr="00000000">
                    <w:rPr>
                      <w:rFonts w:ascii="Times New Roman" w:cs="Times New Roman" w:eastAsia="Times New Roman" w:hAnsi="Times New Roman"/>
                      <w:b w:val="0"/>
                      <w:i w:val="0"/>
                      <w:smallCaps w:val="0"/>
                      <w:strike w:val="0"/>
                      <w:color w:val="0563c1"/>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із зазначенням ім’я (найменування) акціонера, який звертається, кількості, типу та/або класу належних йому акцій, змісту запитання та засвідченням такого запиту кваліфікованим електронним підписом (іншим засобом, що забезпечує ідентифікацію та підтвердження направлення документу особою). Товариство може надати одну загальну відповідь на всі запитання однакового змісту. Відповіді на запити акціонерів направляються на адресу електронної пошти акціонера, з якої надійшов належним чином оформлений запит, із засвідченням відповіді кваліфікованим електронним підписом уповноваженої особи.</w:t>
                  </w:r>
                </w:p>
              </w:tc>
            </w:tr>
            <w:tr>
              <w:trPr>
                <w:cantSplit w:val="0"/>
                <w:tblHeader w:val="0"/>
              </w:trPr>
              <w:tc>
                <w:tcPr>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Економіст Тетяна Терещенко (контактний телефон: (+380(4740)27996) є посадовою особою, відповідальною за ознайомлення акціонерів з матеріалами (документами), необхідними для прийняття рішень з питань порядку денного Зборів під час підготовки до Зборів.</w:t>
                  </w:r>
                </w:p>
              </w:tc>
            </w:tr>
            <w:tr>
              <w:trPr>
                <w:cantSplit w:val="0"/>
                <w:tblHeader w:val="0"/>
              </w:trPr>
              <w:tc>
                <w:tcPr>
                  <w:vAlign w:val="top"/>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Кожний акціонер має право внести пропозиції щодо питань, включених до проекту порядку денного Зборів, а також щодо нових кандидатів до складу органів Товариства, кількість яких не може перевищувати кількісного складу кожного з органів. </w:t>
                  </w:r>
                </w:p>
              </w:tc>
            </w:tr>
            <w:tr>
              <w:trPr>
                <w:cantSplit w:val="0"/>
                <w:tblHeader w:val="0"/>
              </w:trPr>
              <w:tc>
                <w:tcPr>
                  <w:vAlign w:val="top"/>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563c1"/>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Пропозиції вносяться не пізніше ніж за 20 днів до дати проведення Зборів, а щодо кандидатів до складу органів Товариства - не пізніше ніж за 7 днів до дати проведення Зборів. Пропозиція до порядку денного Зборів може бути направлена акціонером у вигляді електронного документу із засвідченням його кваліфікованим електронним підписом акціонера (іншим засобом, що забезпечує ідентифікацію та підтвердження направлення документу особою) на адресу електронної пошти </w:t>
                  </w:r>
                  <w:hyperlink r:id="rId1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office@vkv.com.ua</w:t>
                    </w:r>
                  </w:hyperlink>
                  <w:r w:rsidDel="00000000" w:rsidR="00000000" w:rsidRPr="00000000">
                    <w:rPr>
                      <w:rFonts w:ascii="Times New Roman" w:cs="Times New Roman" w:eastAsia="Times New Roman" w:hAnsi="Times New Roman"/>
                      <w:b w:val="0"/>
                      <w:i w:val="0"/>
                      <w:smallCaps w:val="0"/>
                      <w:strike w:val="0"/>
                      <w:color w:val="0563c1"/>
                      <w:sz w:val="20"/>
                      <w:szCs w:val="20"/>
                      <w:u w:val="none"/>
                      <w:shd w:fill="auto" w:val="clear"/>
                      <w:vertAlign w:val="baseline"/>
                      <w:rtl w:val="0"/>
                    </w:rPr>
                    <w:t xml:space="preserve">.</w:t>
                  </w:r>
                </w:p>
              </w:tc>
            </w:tr>
            <w:tr>
              <w:trPr>
                <w:cantSplit w:val="0"/>
                <w:tblHeader w:val="0"/>
              </w:trPr>
              <w:tc>
                <w:tcPr>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563c1"/>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Бюлетені для голосування на Зборах приймаються виключно до 18-00 дати завершення голосування (28 грудня 2022 року).</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Кожен акціонер - власник голосуючих акцій має право реалізувати своє право на управління</w:t>
                    <w:br w:type="textWrapping"/>
                    <w:t xml:space="preserve">Товариства шляхом участі у Зборах та голосування шляхом подання бюлетенів депозитарній установі, яка обслуговує рахунок в цінних паперах такого акціонера, на якому обліковуються належні акціонеру акції Товариства на дату складення переліку акціонерів, які мають право на участь у Зборах.</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Особам, яким рахунок в цінних паперах депозитарною установою відкрито на підставі договору з емітентом, необхідно укласти договір з депозитарними установами для забезпечення реалізації права на участь у дистанційних Зборах.</w:t>
                  </w:r>
                  <w:r w:rsidDel="00000000" w:rsidR="00000000" w:rsidRPr="00000000">
                    <w:rPr>
                      <w:rtl w:val="0"/>
                    </w:rPr>
                  </w:r>
                </w:p>
              </w:tc>
            </w:tr>
            <w:tr>
              <w:trPr>
                <w:cantSplit w:val="0"/>
                <w:tblHeader w:val="0"/>
              </w:trPr>
              <w:tc>
                <w:tcPr>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Голосування на Зборах з питань порядку денного проводиться виключно з використанням бюлетенів для голосування. </w:t>
                  </w:r>
                </w:p>
              </w:tc>
            </w:tr>
            <w:tr>
              <w:trPr>
                <w:cantSplit w:val="0"/>
                <w:tblHeader w:val="0"/>
              </w:trPr>
              <w:tc>
                <w:tcPr>
                  <w:vAlign w:val="top"/>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Зборах лише щодо тієї кількості акцій, права на які обліковуються на рахунку в цінних паперах, що обслуговується такою депозитарною установою. </w:t>
                  </w:r>
                </w:p>
              </w:tc>
            </w:tr>
            <w:tr>
              <w:trPr>
                <w:cantSplit w:val="0"/>
                <w:tblHeader w:val="0"/>
              </w:trPr>
              <w:tc>
                <w:tcPr>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У випадку подання бюлетеня для голосування, підписаного представником акціонера, до бюлетеня для голосування додаються документи, що підтверджують повноваження такого представника акціонера або їх належним чином засвідчені копії. </w:t>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Представником акціонера на Зборах може бути фізична особа або уповноважена особа юридичної особи, а також уповноважена особа держави чи територіальної громади. Посадові особи органів акціонерного товариства та їх афілійовані особи не можуть бути представниками інших акціонерів акціонерного товариства на Зборах. Представником акціонера - фізичної чи юридичної особи на загальних зборах може бути інша фізична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державним чи комунальним майном.</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Акціонер має право призначити свого представника постійно або на певний строк. Довіреність на право участі та</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голосування на Зборах, видана фізичною особою, посвідчується нотаріусом або іншими посадовими особами, які</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вчиняють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нотаріальні дії, а також може посвідчуватися депозитарною установою у встановленому Національною комісією з цінних паперів та фондового ринку порядку.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Довіреність на право участі та голосування на Зборах від імені юридичної особи видається її органом або іншою особою, уповноваженою на це її установчими документами.</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Довіреність на право участі та голосування на Зборах може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Якщо довіреність не містить завдання щодо голосування, представник вирішує всі питання щодо голосування на загальних зборах на свій розсуд. Акціонер має право видати довіреність на право участі та голосування на Зборах декільком своїм представникам.</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Якщо для участі в Зборах шляхом направлення бюлетенів для голосування здійснили декілька представників акціонера, яким довіреність видана одночасно, для участі в Зборах допускається той представник, який надав бюлетень першим.</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Надання довіреності на право участі та голосування на Загальних зборах не виключає право участі на цих Зборах акціонера, який видав довіреність, замість свого представника. Акціонер має право у будь-який час до закінчення строку, відведеного для голосування на Загальних зборах відкликати чи замінити свого представника на загальних зборах, повідомивши про це Товариство та депозитарну установу, яка обслуговує рахунок в цінних паперах такого акціонера, на якому обліковуються належні акціонеру акції Товариства, або взяти участь у Зборах особисто. Повідомлення акціонером про заміну або відкликання свого представника може здійснюватися за допомогою засобів електронного зв'язку відповідно до законодавства про електронний документообіг.</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Датою початку голосування акціонерів є дата розміщення бюлетенів для голосування у вільному для акціонерів доступі.  Голосування на Зборах з відповідних питань порядку денного розпочинається з моменту розміщення на вебсайті відповідного бюлетеня для голосування ПрАТ «ВКВ» (http://vkv.emitents.net.ua) у розділі «Повідомлення» за посиланням http://vkv.emitents.net.ua/ua/mess.</w:t>
            </w:r>
          </w:p>
          <w:tbl>
            <w:tblPr>
              <w:tblStyle w:val="Table5"/>
              <w:tblW w:w="10772.0" w:type="dxa"/>
              <w:jc w:val="left"/>
              <w:tblLayout w:type="fixed"/>
              <w:tblLook w:val="0000"/>
            </w:tblPr>
            <w:tblGrid>
              <w:gridCol w:w="10772"/>
              <w:tblGridChange w:id="0">
                <w:tblGrid>
                  <w:gridCol w:w="10772"/>
                </w:tblGrid>
              </w:tblGridChange>
            </w:tblGrid>
            <w:tr>
              <w:trPr>
                <w:cantSplit w:val="0"/>
                <w:tblHeader w:val="0"/>
              </w:trPr>
              <w:tc>
                <w:tcPr>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Датою закінчення голосування акціонерів є дата проведення Зборів.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Акціонер в період проведення голосування може надати депозитарній установі, яка обслуговує рахунок в цінних</w:t>
                    <w:br w:type="textWrapping"/>
                    <w:t xml:space="preserve">паперах такого акціонера, на якому обліковуються належні акціонеру акції Товариства, лише один бюлетень для голосування з одних і тих самих питань порядку денного. У разі якщо бюлетень для голосування складається з кількох аркушів, кожен аркуш підписується акціонером (представником акціонера) (дані вимоги не застосовуються у випадку засвідчення бюлетеня кваліфікованим електронним підписом акціонера (його представника).</w:t>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Кількість голосів акціонера в бюлетені для голосуванні зазначається акціонером на підставі даних отриманих акціонером від депозитарної установи, яка обслуговує рахунок в цінних паперах такого акціонера, на якому обліковуються належні акціонеру акції Товариства</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Бюлетень для голосування на Зборах засвідчується одним з наступних способів за вибором акціонера:</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 за допомогою кваліфікованого електронного підпису акціонера (його представника);</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 нотаріально, за умови підписання бюлетеня в присутності нотаріуса або посадової особи, яка вчиняє нотаріальні дії;</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 депозитарною установою, яка обслуговує рахунок в цінних паперах такого акціонера, на якому обліковуються належні акціонеру акції Товариства, за умови підписання бюлетеня в присутності уповноваженої особи депозитарної установи.</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Бюлетень для голосування на загальних зборах, засвідчений за допомогою кваліфікованого електронного підпису акціонера (його представника), направляється депозитарній установі на адресу електронної пошти, яка визначена депозитарною установою.</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У разі, якщо акціонер має рахунки в цінних паперах в декількох депозитарних установах, на яких обліковуються акції товариства, кожна із депозитарних установ приймає бюлетень для голосування на загальних зборах</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лише щодо тієї кількості акцій, права на які обліковуються на рахунку в цінних паперах, що обслуговується такою депозитарною установою.</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При реєстрації для участі в Зборах акціонерам при собі мати паспорт або інший офіційний документ, що</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посвідчує особу;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для представника акціонера  (юридичної особи)  - документ, що свідчить про повноваження посадової особи брати участь у загальних зборах  (оригінал, або нотаріально завірену копію), або довіреність на право участі у загальних зборах, оформлену згідно з чинним законодавством України</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для представника акціонера (фізичної особи) крім паспорта - довіреність на право участі та голосуванні на</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загальних зборах, оформлена згідно з чинним  законодавством України.</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Основні показники фінансово-господарської діяльності підприємства (тис.грн) за 2021 рік.</w:t>
            </w:r>
            <w:r w:rsidDel="00000000" w:rsidR="00000000" w:rsidRPr="00000000">
              <w:rPr>
                <w:rtl w:val="0"/>
              </w:rPr>
            </w:r>
          </w:p>
        </w:tc>
      </w:tr>
    </w:tbl>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6"/>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87"/>
        <w:gridCol w:w="1296"/>
        <w:gridCol w:w="1437"/>
        <w:tblGridChange w:id="0">
          <w:tblGrid>
            <w:gridCol w:w="6987"/>
            <w:gridCol w:w="1296"/>
            <w:gridCol w:w="1437"/>
          </w:tblGrid>
        </w:tblGridChange>
      </w:tblGrid>
      <w:tr>
        <w:trPr>
          <w:cantSplit w:val="1"/>
          <w:trHeight w:val="253" w:hRule="atLeast"/>
          <w:tblHeader w:val="0"/>
        </w:trPr>
        <w:tc>
          <w:tcPr>
            <w:vMerge w:val="restart"/>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Найменування показника/</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Characteristic</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Періоди/Period</w:t>
            </w:r>
            <w:r w:rsidDel="00000000" w:rsidR="00000000" w:rsidRPr="00000000">
              <w:rPr>
                <w:rtl w:val="0"/>
              </w:rPr>
            </w:r>
          </w:p>
        </w:tc>
      </w:tr>
      <w:tr>
        <w:trPr>
          <w:cantSplit w:val="1"/>
          <w:trHeight w:val="154" w:hRule="atLeast"/>
          <w:tblHeader w:val="0"/>
        </w:trPr>
        <w:tc>
          <w:tcPr>
            <w:vMerge w:val="continue"/>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Звітний/</w:t>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Reporting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Попередній/</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Prior</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Усього активів/ Total assets </w:t>
            </w:r>
          </w:p>
        </w:tc>
        <w:tc>
          <w:tcPr>
            <w:tcBorders>
              <w:top w:color="000000" w:space="0" w:sz="0" w:val="nil"/>
              <w:left w:color="000000" w:space="0" w:sz="4" w:val="single"/>
              <w:bottom w:color="000000" w:space="0" w:sz="4" w:val="single"/>
              <w:right w:color="000000" w:space="0" w:sz="4" w:val="single"/>
            </w:tcBorders>
            <w:vAlign w:val="top"/>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692839</w:t>
            </w:r>
          </w:p>
        </w:tc>
        <w:tc>
          <w:tcPr>
            <w:tcBorders>
              <w:top w:color="000000" w:space="0" w:sz="0" w:val="nil"/>
              <w:left w:color="000000" w:space="0" w:sz="4" w:val="single"/>
              <w:bottom w:color="000000" w:space="0" w:sz="4" w:val="single"/>
              <w:right w:color="000000" w:space="0" w:sz="4" w:val="single"/>
            </w:tcBorders>
            <w:vAlign w:val="top"/>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654 701</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Основні засоби (за залишковою вартістю)/Fixed assets (at residual value)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403369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382 487</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Запаси/ Stocks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188534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185 024</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Сумарна дебіторська заборгованість/ Total receivables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36 235</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Гроші та їх еквіваленти/ Money and their equivalents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27756</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20 483</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Нерозподілений прибуток (непокритий збиток)/ Retained earnings (uncovered loss)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141884</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190 433</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Власний капітал/ Equity</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186789</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235 473</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Зареєстрований (пайовий/статутний) капітал/ Registered (share / authorized) capital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5911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5 911</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Довгострокові зобов'язання і забезпечення/ Long-term liabilities and collateral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75048</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114 612</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Поточні зобов'язання і забезпечення/ Current liabilities and collateral</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430990</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304 616</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Чистий фінансовий результат: прибуток (збиток)/ Net financial result: profit (loss)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(47 192)</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(62 958)</w:t>
            </w:r>
          </w:p>
        </w:tc>
      </w:tr>
    </w:tbl>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7"/>
        <w:tblW w:w="10988.0" w:type="dxa"/>
        <w:jc w:val="left"/>
        <w:tblInd w:w="-108.0" w:type="dxa"/>
        <w:tblLayout w:type="fixed"/>
        <w:tblLook w:val="0000"/>
      </w:tblPr>
      <w:tblGrid>
        <w:gridCol w:w="5494"/>
        <w:gridCol w:w="5494"/>
        <w:tblGridChange w:id="0">
          <w:tblGrid>
            <w:gridCol w:w="5494"/>
            <w:gridCol w:w="5494"/>
          </w:tblGrid>
        </w:tblGridChange>
      </w:tblGrid>
      <w:tr>
        <w:trPr>
          <w:cantSplit w:val="0"/>
          <w:tblHeader w:val="0"/>
        </w:trPr>
        <w:tc>
          <w:tcPr>
            <w:gridSpan w:val="2"/>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bl>
            <w:tblPr>
              <w:tblStyle w:val="Table8"/>
              <w:tblW w:w="97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87"/>
              <w:gridCol w:w="1296"/>
              <w:gridCol w:w="1437"/>
              <w:tblGridChange w:id="0">
                <w:tblGrid>
                  <w:gridCol w:w="6987"/>
                  <w:gridCol w:w="1296"/>
                  <w:gridCol w:w="143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Середньорічна кількість акцій (шт.)/ Average annual number of shares (units)</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23642143</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23 642 143</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Чистий прибуток (збиток) на одну просту акцію (грн)/ Net profit (loss) per ordinary share (UAH)</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1,99611</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2,66296</w:t>
                  </w:r>
                </w:p>
              </w:tc>
            </w:tr>
          </w:tb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Підтверджую достовірність інформації, що міститься у повідомленні.</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Голова Правління ПрАТ «ВКВ»                                                                        Літвін Д.В.</w:t>
            </w: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gridSpan w:val="2"/>
            <w:vAlign w:val="top"/>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pgSz w:h="16838" w:w="11906" w:orient="portrait"/>
      <w:pgMar w:bottom="568" w:top="426" w:left="567"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65535"/>
      <w:numFmt w:val="bullet"/>
      <w:lvlText w:val="-"/>
      <w:lvlJc w:val="left"/>
      <w:pPr>
        <w:ind w:left="1080" w:hanging="360"/>
      </w:pPr>
      <w:rPr>
        <w:rFonts w:ascii="Times New Roman" w:cs="Times New Roman" w:eastAsia="Times New Roman" w:hAnsi="Times New Roman"/>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w:cs="Noto Sans" w:eastAsia="Noto Sans" w:hAnsi="Noto Sans"/>
        <w:vertAlign w:val="baseline"/>
      </w:rPr>
    </w:lvl>
    <w:lvl w:ilvl="3">
      <w:start w:val="1"/>
      <w:numFmt w:val="bullet"/>
      <w:lvlText w:val="●"/>
      <w:lvlJc w:val="left"/>
      <w:pPr>
        <w:ind w:left="3240" w:hanging="360"/>
      </w:pPr>
      <w:rPr>
        <w:rFonts w:ascii="Noto Sans" w:cs="Noto Sans" w:eastAsia="Noto Sans" w:hAnsi="Noto San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w:cs="Noto Sans" w:eastAsia="Noto Sans" w:hAnsi="Noto Sans"/>
        <w:vertAlign w:val="baseline"/>
      </w:rPr>
    </w:lvl>
    <w:lvl w:ilvl="6">
      <w:start w:val="1"/>
      <w:numFmt w:val="bullet"/>
      <w:lvlText w:val="●"/>
      <w:lvlJc w:val="left"/>
      <w:pPr>
        <w:ind w:left="5400" w:hanging="360"/>
      </w:pPr>
      <w:rPr>
        <w:rFonts w:ascii="Noto Sans" w:cs="Noto Sans" w:eastAsia="Noto Sans" w:hAnsi="Noto San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w:cs="Noto Sans" w:eastAsia="Noto Sans" w:hAnsi="Noto San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k-U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mailto:office@vkv.com.ua" TargetMode="External"/><Relationship Id="rId10" Type="http://schemas.openxmlformats.org/officeDocument/2006/relationships/hyperlink" Target="mailto:office@vkv.com.ua" TargetMode="External"/><Relationship Id="rId9" Type="http://schemas.openxmlformats.org/officeDocument/2006/relationships/hyperlink" Target="http://vkv.emitents.net.ua/ua/mess" TargetMode="External"/><Relationship Id="rId5" Type="http://schemas.openxmlformats.org/officeDocument/2006/relationships/styles" Target="styles.xml"/><Relationship Id="rId6" Type="http://schemas.openxmlformats.org/officeDocument/2006/relationships/hyperlink" Target="http://vkv.emitents.net.ua" TargetMode="External"/><Relationship Id="rId7" Type="http://schemas.openxmlformats.org/officeDocument/2006/relationships/hyperlink" Target="http://vkv.emitents.net.ua/ua/mess" TargetMode="External"/><Relationship Id="rId8" Type="http://schemas.openxmlformats.org/officeDocument/2006/relationships/hyperlink" Target="http://vkv.emitents.net.ua/ua/mes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