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988.0" w:type="dxa"/>
        <w:jc w:val="left"/>
        <w:tblInd w:w="-108.0" w:type="dxa"/>
        <w:tblLayout w:type="fixed"/>
        <w:tblLook w:val="0000"/>
      </w:tblPr>
      <w:tblGrid>
        <w:gridCol w:w="10988"/>
        <w:tblGridChange w:id="0">
          <w:tblGrid>
            <w:gridCol w:w="10988"/>
          </w:tblGrid>
        </w:tblGridChange>
      </w:tblGrid>
      <w:tr>
        <w:trPr>
          <w:cantSplit w:val="0"/>
          <w:trHeight w:val="558"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ПОВІДОМЛЕННЯ</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 проведення річних Загальних Зборів Акціонерів</w:t>
            </w:r>
          </w:p>
        </w:tc>
      </w:tr>
      <w:tr>
        <w:trPr>
          <w:cantSplit w:val="0"/>
          <w:trHeight w:val="842" w:hRule="atLeast"/>
          <w:tblHeader w:val="0"/>
        </w:trPr>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АКЦІОНЕРАМ ПРИВАТНОГО АКЦІОНЕРНОГО ТОВАРИСТВА «ВАТУТІНСЬКИЙ КОМБІНАТ ВОГНЕТРИВІВ»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ЄДРПОУ 00191916, місцезнаходження</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20254, Україна, Черкаська обл., м. Ватутіне,  вул. Індустріальна, 11)</w:t>
            </w:r>
          </w:p>
        </w:tc>
      </w:tr>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(надалі – «Товариство», або ПрАТ «ВКВ»)</w:t>
            </w:r>
          </w:p>
        </w:tc>
      </w:tr>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Товариство повідомляє про прийняття Наглядовою радою ПрАТ «ВКВ» рішення (протокол №206 від 28.10.2022 р.) про проведення дистанційних річних Загальних Зборів Акціонерів Товариства (далі –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Збори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Відповідне рішення прийнято Наглядовою радою ПрАТ «ВКВ» </w:t>
            </w:r>
            <w:r w:rsidDel="00000000" w:rsidR="00000000" w:rsidRPr="00000000">
              <w:rPr>
                <w:rFonts w:ascii="Times New Roman" w:cs="Times New Roman" w:eastAsia="Times New Roman" w:hAnsi="Times New Roman"/>
                <w:b w:val="0"/>
                <w:i w:val="0"/>
                <w:smallCaps w:val="0"/>
                <w:strike w:val="0"/>
                <w:color w:val="0070c0"/>
                <w:sz w:val="21"/>
                <w:szCs w:val="21"/>
                <w:u w:val="none"/>
                <w:shd w:fill="auto" w:val="clear"/>
                <w:vertAlign w:val="baseline"/>
                <w:rtl w:val="0"/>
              </w:rPr>
              <w:t xml:space="preserve">у зв’язку з введенням на території України воєнного стану відповідно до Указу Президента України від 24.02.2022 № 64/2022 “Про введення воєнного стану в Україні</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 року № 196 зі змінами (далі – «</w:t>
            </w: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Тимчасовий порядок»</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Відповідне рішення прийнято Наглядовою радою ПрАТ «ВКВ» у зв’язку з введенням на території України воєнного стану відповідно до Указу Президента України від 24.02.2022 № 64/2022 “Про введення воєнного стану в Україні”, керуючись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16.04.2020 року № 196 зі змінами (далі – «Тимчасовий порядок»).</w:t>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Дата проведення дистанційних річних Загальних Зборів Акціонерів Товариства (дата завершення голосування), що будуть проведені у відповідності до Тимчасового порядку: «28» грудня 2022 року.</w:t>
            </w:r>
          </w:p>
        </w:tc>
      </w:tr>
      <w:tr>
        <w:trPr>
          <w:cantSplit w:val="0"/>
          <w:tblHeader w:val="0"/>
        </w:trPr>
        <w:tc>
          <w:tcP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Дата складання переліку акціонерів, які мають право на участь у загальних зборах: на 24:00 годину «22» грудня 2022 року. Дата початку голосування акціонерів з відповідних питань порядку денного: 18 грудня 2022 року - дата розміщення бюлетеню (бюлетенів) для голосування у вільному для акціонерів доступі на власному веб-сайті ПрАТ «ВКВ» (</w:t>
            </w:r>
            <w:hyperlink r:id="rId6">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http://vkv.emitents.net.ua</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у розділі «Повідомлення» за посиланням </w:t>
            </w:r>
            <w:hyperlink r:id="rId7">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http://vkv.emitents.net.ua/ua/mess</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                                                              Проект порядку денного</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Розгляд Звіту Правління ПрАТ «ВКВ» про підсумки господарської діяльності Товариства у 2021 році,  затвердження заходів та прийняття рішення за результатами його розгляду.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 рішення:«1. Звіт Правління ПрАТ «ВКВ» «Про підсумки господарської діяльності ПрАТ «ВКВ» у 2021 році, заходи та рішення за  результатами його розгляду – затвердити».</w:t>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2.Звіт Наглядової ради ПрАТ «ВКВ» за 2021 рік, затвердження заходів та прийняття рішення за результатами його розгляду.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Проект рішення:«2. Звіт Наглядової Ради ПрАТ «ВКВ» за 2021 рік, заходи та рішення за результатами його розгляду – затвердити».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3.Затвердження Звіту та висновків Ревізійної комісії ПрАТ «ВКВ» за 2021 рік, прийняття рішення за наслідками </w:t>
            </w:r>
            <w:r w:rsidDel="00000000" w:rsidR="00000000" w:rsidRPr="00000000">
              <w:rPr>
                <w:rtl w:val="0"/>
              </w:rPr>
            </w:r>
          </w:p>
          <w:tbl>
            <w:tblPr>
              <w:tblStyle w:val="Table2"/>
              <w:tblW w:w="10772.0" w:type="dxa"/>
              <w:jc w:val="left"/>
              <w:tblLayout w:type="fixed"/>
              <w:tblLook w:val="0000"/>
            </w:tblPr>
            <w:tblGrid>
              <w:gridCol w:w="10772"/>
              <w:tblGridChange w:id="0">
                <w:tblGrid>
                  <w:gridCol w:w="10772"/>
                </w:tblGrid>
              </w:tblGridChange>
            </w:tblGrid>
            <w:tr>
              <w:trPr>
                <w:cantSplit w:val="0"/>
                <w:tblHeader w:val="0"/>
              </w:trPr>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Звіт Ревізійної комісії ПрАТ «ВКВ» за 2021 рік та висновки Ревізійної комісії ПрАТ «ВКВ» по звіту і балансу ПрАТ «ВКВ» за 2021 рік– затвердити».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4.Розгляд висновків зовнішнього аудиту за 2021 рік та затвердження заходів за результатами його розгляду.</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Висновки зовнішнього аудиту за 2021 рік та заходи за результатами його розгляду – затвердити.»</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5.Затвердження річної фінансової звітності ПрАТ «ВКВ» за 2021 рік.</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«5. Річну фінансову звітність ПрАТ «ВКВ» за 2021 рік – затвердити».</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6.Про розподіл прибутку (покриття збитків) за підсумками роботи Товариства за 2021 рік.</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«За підсумками 2021 року Товариством було отримано збиток у сумі 47 192 тисяч гривень. Оскільки Товариство отримало збитки, то дивіденди не нараховувати та не сплачувати».</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Про  вчинення Товариством значних правочинів.</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«7.Згідно ст. 70 Закону України "Про акцiонернi товариства" надати попередню згоду  на вчинення Товариством значних правочинiв:</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65a3"/>
                      <w:sz w:val="22"/>
                      <w:szCs w:val="22"/>
                      <w:u w:val="none"/>
                      <w:shd w:fill="dfe2e7"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7.1.на поставку своєї продукції: компанії «Імерис Ріфракторі Мінералз Клерак» на загальну суму, що не перевищуватиме  350 000 000,00 (триста п’ятдесят мільйонів) гривень або еквівалент цієї суми у іншій валюті;</w:t>
                  </w:r>
                  <w:r w:rsidDel="00000000" w:rsidR="00000000" w:rsidRPr="00000000">
                    <w:rPr>
                      <w:rFonts w:ascii="Times New Roman" w:cs="Times New Roman" w:eastAsia="Times New Roman" w:hAnsi="Times New Roman"/>
                      <w:b w:val="0"/>
                      <w:i w:val="1"/>
                      <w:smallCaps w:val="0"/>
                      <w:strike w:val="0"/>
                      <w:color w:val="0065a3"/>
                      <w:sz w:val="22"/>
                      <w:szCs w:val="22"/>
                      <w:u w:val="none"/>
                      <w:shd w:fill="dfe2e7"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та іншим контрагентам на загальну суму, що не перевищуватиме 300 000 000,00 (триста мільйонів) гривень або еквівалент цієї суми у іншій валюті;</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65a3"/>
                      <w:sz w:val="22"/>
                      <w:szCs w:val="22"/>
                      <w:u w:val="none"/>
                      <w:shd w:fill="dfe2e7"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65a3"/>
                      <w:sz w:val="22"/>
                      <w:szCs w:val="22"/>
                      <w:u w:val="none"/>
                      <w:shd w:fill="dfe2e7"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7.2.на закупівлю послуг по збуту своєї продукції на загальну суму, що не перевищуватиме 150 000 000,00 (сто п’ятдесят  мільйонів) грн. або еквівалент цієї суми у іншій валюті</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7.3.на придбання послуг та товарів для комбінату для забезпечення потреб виробництва продукції на загальну суму, що не перевищуватиме 600 000 000 (шістсот мільйонів) гривень або еквівалент цієї суми у іншій валюті;</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7.4. на інші значні правочини, якщо гранична вартiсть майна або послуг, що є або буде предметом даних правочинiв буде становити вiд 25% до 50% вартостi активiв Товариства за даними рiчної фiнансової звiтностi за 2021 рiк, включаючи: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7.4.1. правочини для забезпечення потреб виробництва: придбання сировини (каоліну), закупівлю газу, закупівлю альтернативного палива; закупівлю електричної енергії, придбання паливно-мастильних матеріалів, укладення договорів оренди;</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7.4.2 кредитнi та депозитнi правочини, або змiни до них;</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7.4.3 правочини щодо розпорядження нерухомiстю (придбання, продажу, оренди (суборенди);</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7.4.4. правочини щодо розпорядження рухомим майном.</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Пiд значним правочином слiд, також, розумiти вчинення пов'язаних з значними правочинами будь-яких iнших правочинiв, договорiв i документiв, додаткових угод (доповнень) до дiючих договорiв (угод/контрактiв), що були укладенi Товариством або будуть вчинятися Товариством не пiзнiше наступних рiчних загальних зборiв акцiонерiв. Надати попередню згоду на укладення вищезазначених значних правочинів протягом 1-го року з моменту проведення Зборів, з можливим збільшенням суми будь-якого такого значного правочину в залежності від кон’юнктури ринку, але не більше ніж на 15% від початкової суми такого  значного правочину.</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8.Про відкликання членів Наглядової Ради Товариства.</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 </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Відкликати зі складу Наглядової Ради</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86"/>
              </w:tabs>
              <w:spacing w:after="0" w:before="0" w:line="240" w:lineRule="auto"/>
              <w:ind w:left="2" w:right="0" w:hanging="2"/>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П'єр Фуше (Голова НР)</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86"/>
              </w:tabs>
              <w:spacing w:after="0" w:before="0" w:line="240" w:lineRule="auto"/>
              <w:ind w:left="2" w:right="0" w:hanging="2"/>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Максим Бодін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tabs>
                <w:tab w:val="left" w:pos="986"/>
              </w:tabs>
              <w:spacing w:after="0" w:before="0" w:line="240" w:lineRule="auto"/>
              <w:ind w:left="2" w:right="0" w:hanging="2"/>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Вінсент Коуті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9.Про обрання членів Наглядової Ради Товариства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Проект ріщення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«Обрати до складу Наглядової Ради  ПрАТ «ВКВ» наступних членів</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86"/>
              </w:tabs>
              <w:spacing w:after="0" w:before="0" w:line="276" w:lineRule="auto"/>
              <w:ind w:left="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П'єр Фуше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86"/>
              </w:tabs>
              <w:spacing w:after="0" w:before="0" w:line="276" w:lineRule="auto"/>
              <w:ind w:left="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 Вінсент Коуті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86"/>
              </w:tabs>
              <w:spacing w:after="0" w:before="0" w:line="276"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2"/>
                <w:szCs w:val="22"/>
                <w:u w:val="none"/>
                <w:shd w:fill="auto" w:val="clear"/>
                <w:vertAlign w:val="baseline"/>
                <w:rtl w:val="0"/>
              </w:rPr>
              <w:t xml:space="preserve">            - Стефан Буше</w:t>
            </w:r>
            <w:r w:rsidDel="00000000" w:rsidR="00000000" w:rsidRPr="00000000">
              <w:rPr>
                <w:rtl w:val="0"/>
              </w:rPr>
            </w:r>
          </w:p>
          <w:tbl>
            <w:tblPr>
              <w:tblStyle w:val="Table3"/>
              <w:tblW w:w="10772.0" w:type="dxa"/>
              <w:jc w:val="left"/>
              <w:tblLayout w:type="fixed"/>
              <w:tblLook w:val="0000"/>
            </w:tblPr>
            <w:tblGrid>
              <w:gridCol w:w="10772"/>
              <w:tblGridChange w:id="0">
                <w:tblGrid>
                  <w:gridCol w:w="10772"/>
                </w:tblGrid>
              </w:tblGridChange>
            </w:tblGrid>
            <w:tr>
              <w:trPr>
                <w:cantSplit w:val="0"/>
                <w:tblHeader w:val="0"/>
              </w:trPr>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Про відкликання членів Ревізійної комісії Товариства</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left" w:pos="851"/>
                      <w:tab w:val="left" w:pos="99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«8. Відкликати зі складу Ревізійної комісії Товариства: Вассо Клотильду; Ходикіна Ярослава Сергійовича».</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Про обрання членів Ревізійної комісії Товариства.</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61" w:hRule="atLeast"/>
                <w:tblHeader w:val="0"/>
              </w:trPr>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Проект рішення: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«9. Обрати до складу Ревізійної комісії ПрАТ «ВКВ» наступних членів: Вассо Клотильду;  Ходикіна Ярослава Сергійовича , Снітко Катерину Сергійовну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563c1"/>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сторінки на власному веб-сайті ПрАТ «ВКВ»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http://vkv.emitents.net.ua/ua/mess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якій розміщені повідомлення про проведення Загальних зборів,</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http://vkv.emitents.net.ua/ua/mess</w:t>
                    </w:r>
                  </w:hyperlink>
                  <w:r w:rsidDel="00000000" w:rsidR="00000000" w:rsidRPr="00000000">
                    <w:rPr>
                      <w:rFonts w:ascii="Times New Roman" w:cs="Times New Roman" w:eastAsia="Times New Roman" w:hAnsi="Times New Roman"/>
                      <w:b w:val="0"/>
                      <w:i w:val="0"/>
                      <w:smallCaps w:val="0"/>
                      <w:strike w:val="0"/>
                      <w:color w:val="0563c1"/>
                      <w:sz w:val="20"/>
                      <w:szCs w:val="20"/>
                      <w:u w:val="none"/>
                      <w:shd w:fill="auto" w:val="clear"/>
                      <w:vertAlign w:val="baseline"/>
                      <w:rtl w:val="0"/>
                    </w:rPr>
                    <w:t xml:space="preserve">.</w:t>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Кожен акціонер має право отримати, а Товариство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Зборів. Від дати надсилання повідомлення про проведення Зборів до дати проведення Зборів Товариство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office@vkv.com.ua.</w:t>
              <w:br w:type="textWrapping"/>
              <w:t xml:space="preserve">Запит акціонера на ознайомлення з документами, необхідними акціонерам для прийняття рішень з питань порядку денного, та/або із запитаннями щодо порядку денного загальних зборів та/або з пропозиціями до порядку денного загальних зборів та проектів рішень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office@vkv.com.ua.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tbl>
            <w:tblPr>
              <w:tblStyle w:val="Table4"/>
              <w:tblW w:w="10772.0" w:type="dxa"/>
              <w:jc w:val="left"/>
              <w:tblLayout w:type="fixed"/>
              <w:tblLook w:val="0000"/>
            </w:tblPr>
            <w:tblGrid>
              <w:gridCol w:w="10772"/>
              <w:tblGridChange w:id="0">
                <w:tblGrid>
                  <w:gridCol w:w="10772"/>
                </w:tblGrid>
              </w:tblGridChange>
            </w:tblGrid>
            <w:tr>
              <w:trPr>
                <w:cantSplit w:val="0"/>
                <w:tblHeader w:val="0"/>
              </w:trPr>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Товариство до дати проведення Зборів надає відповіді на запитання акціонерів щодо питань, включених до проекту порядку денного Зборів та порядку денного Зборів. Відповідні запити направляються акціонерами на адресу електронної пошти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office@vkv.com.ua</w:t>
                    </w:r>
                  </w:hyperlink>
                  <w:r w:rsidDel="00000000" w:rsidR="00000000" w:rsidRPr="00000000">
                    <w:rPr>
                      <w:rFonts w:ascii="Times New Roman" w:cs="Times New Roman" w:eastAsia="Times New Roman" w:hAnsi="Times New Roman"/>
                      <w:b w:val="0"/>
                      <w:i w:val="0"/>
                      <w:smallCaps w:val="0"/>
                      <w:strike w:val="0"/>
                      <w:color w:val="0563c1"/>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Економіст Тетяна Терещенко (контактний телефон: (+380(4740)27996) є посадовою особою, відповідальною за ознайомлення акціонерів з матеріалами (документами), необхідними для прийняття рішень з питань порядку денного Зборів під час підготовки до Зборів.</w:t>
                  </w:r>
                </w:p>
              </w:tc>
            </w:tr>
            <w:tr>
              <w:trPr>
                <w:cantSplit w:val="0"/>
                <w:tblHeader w:val="0"/>
              </w:trPr>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Кожний акціонер має право внести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 </w:t>
                  </w:r>
                </w:p>
              </w:tc>
            </w:tr>
            <w:tr>
              <w:trPr>
                <w:cantSplit w:val="0"/>
                <w:tblHeader w:val="0"/>
              </w:trPr>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563c1"/>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Пропозиції вносяться не пізніше ніж за 20 днів до дати проведення Зборів, а щодо кандидатів до складу органів Товариства - не пізніше ніж за 7 днів до дати проведення Зборів. Пропозиція до порядку денного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office@vkv.com.ua</w:t>
                    </w:r>
                  </w:hyperlink>
                  <w:r w:rsidDel="00000000" w:rsidR="00000000" w:rsidRPr="00000000">
                    <w:rPr>
                      <w:rFonts w:ascii="Times New Roman" w:cs="Times New Roman" w:eastAsia="Times New Roman" w:hAnsi="Times New Roman"/>
                      <w:b w:val="0"/>
                      <w:i w:val="0"/>
                      <w:smallCaps w:val="0"/>
                      <w:strike w:val="0"/>
                      <w:color w:val="0563c1"/>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563c1"/>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Бюлетені для голосування на Зборах приймаються виключно до 18-00 дати завершення голосування (28 грудня 2022 року).</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Кожен акціонер - власник голосуючих акцій має право реалізувати своє право на управління</w:t>
                    <w:br w:type="textWrapping"/>
                    <w:t xml:space="preserve">Товариства шляхом участі у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Зборах.</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Зборах.</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Голосування на Зборах з питань порядку денного проводиться виключно з використанням бюлетенів для голосування. </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Зборах лише щодо тієї кількості акцій, права на які обліковуються на рахунку в цінних паперах, що обслуговується такою депозитарною установою. </w:t>
                  </w:r>
                </w:p>
              </w:tc>
            </w:tr>
            <w:tr>
              <w:trPr>
                <w:cantSplit w:val="0"/>
                <w:tblHeader w:val="0"/>
              </w:trPr>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w:t>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акціонерного товариства та їх афілійовані особи не можуть бути представниками інших акціонерів акціонерного товариства на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Акціонер має право призначити свого представника постійно або на певний строк. Довіреність на право участі та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голосування на Зборах, видана фізичною особою, посвідчується нотаріусом або іншими посадовими особами, які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вчиняють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нотаріальні дії, а також може посвідчуватися депозитарною установою у встановленому Національною комісією з цінних паперів та фондового ринку порядку.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Зборах декільком своїм представникам.</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Якщо для участі в Зборах шляхом направлення бюлетенів для голосування здійснили декілька представників акціонера, яким довіреність видана одночасно, для участі в Зборах допускається той представник, який надав бюлетень першим.</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Датою початку голосування акціонерів є дата розміщення бюлетенів для голосування у вільному для акціонерів доступі.  Голосування на Зборах з відповідних питань порядку денного розпочинається з моменту розміщення на вебсайті відповідного бюлетеня для голосування ПрАТ «ВКВ» (http://vkv.emitents.net.ua) у розділі «Повідомлення» за посиланням http://vkv.emitents.net.ua/ua/mess.</w:t>
            </w:r>
          </w:p>
          <w:tbl>
            <w:tblPr>
              <w:tblStyle w:val="Table5"/>
              <w:tblW w:w="10772.0" w:type="dxa"/>
              <w:jc w:val="left"/>
              <w:tblLayout w:type="fixed"/>
              <w:tblLook w:val="0000"/>
            </w:tblPr>
            <w:tblGrid>
              <w:gridCol w:w="10772"/>
              <w:tblGridChange w:id="0">
                <w:tblGrid>
                  <w:gridCol w:w="10772"/>
                </w:tblGrid>
              </w:tblGridChange>
            </w:tblGrid>
            <w:tr>
              <w:trPr>
                <w:cantSplit w:val="0"/>
                <w:tblHeader w:val="0"/>
              </w:trPr>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Датою закінчення голосування акціонерів є дата проведення Зборів.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Акціонер в період проведення голосування може надати депозитарній установі, яка обслуговує рахунок в цінних</w:t>
                    <w:br w:type="textWrapping"/>
                    <w:t xml:space="preserve">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w:t>
                  </w:r>
                </w:p>
              </w:tc>
            </w:tr>
          </w:tb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Бюлетень для голосування на Зборах засвідчується одним з наступних способів за вибором акціонера: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за допомогою кваліфікованого електронного підпису акціонера (його представника);</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нотаріально, за умови підписання бюлетеня в присутності нотаріуса або посадової особи, яка вчиняє нотаріальні дії;</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лише щодо тієї кількості акцій, права на які обліковуються на рахунку в цінних паперах, що обслуговується такою депозитарною установою.</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реєстрації для участі в Зборах акціонерам при собі мати паспорт або інший офіційний документ, що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посвідчує особу;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для представника акціонера  (юридичної особи)  - документ, що свідчить про повноваження посадової особи брати участь у загальних зборах  (оригінал, або нотаріально завірену копію), або довіреність на право участі у загальних зборах, оформлену згідно з чинним законодавством України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для представника акціонера (фізичної особи) крім паспорта - довіреність на право участі та голосуванні на</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загальних зборах, оформлена згідно з чинним  законодавством України.</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Основні показники фінансово-господарської діяльності підприємства (тис.грн) за 2021 рік.</w:t>
            </w: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7"/>
        <w:gridCol w:w="1296"/>
        <w:gridCol w:w="1437"/>
        <w:tblGridChange w:id="0">
          <w:tblGrid>
            <w:gridCol w:w="6987"/>
            <w:gridCol w:w="1296"/>
            <w:gridCol w:w="1437"/>
          </w:tblGrid>
        </w:tblGridChange>
      </w:tblGrid>
      <w:tr>
        <w:trPr>
          <w:cantSplit w:val="1"/>
          <w:trHeight w:val="253" w:hRule="atLeast"/>
          <w:tblHeader w:val="0"/>
        </w:trPr>
        <w:tc>
          <w:tcPr>
            <w:vMerge w:val="restart"/>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Найменування показника/</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Characteristic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Періоди/Period</w:t>
            </w:r>
            <w:r w:rsidDel="00000000" w:rsidR="00000000" w:rsidRPr="00000000">
              <w:rPr>
                <w:rtl w:val="0"/>
              </w:rPr>
            </w:r>
          </w:p>
        </w:tc>
      </w:tr>
      <w:tr>
        <w:trPr>
          <w:cantSplit w:val="1"/>
          <w:trHeight w:val="154" w:hRule="atLeast"/>
          <w:tblHeader w:val="0"/>
        </w:trPr>
        <w:tc>
          <w:tcPr>
            <w:vMerge w:val="continue"/>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Звітний/</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Reporting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Попередній/</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Усього активів/ Total assets </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692839</w:t>
            </w:r>
          </w:p>
        </w:tc>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654 701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Основні засоби (за залишковою вартістю)/Fixed assets (at residual value)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403369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382 487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Запаси/ Stocks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188534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185 024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Сумарна дебіторська заборгованість/ Total receivables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36 235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Гроші та їх еквіваленти/ Money and their equivalents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27756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20 483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Нерозподілений прибуток (непокритий збиток)/ Retained earnings (uncovered loss)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141884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190 433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Власний капітал/ Equity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186789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235 473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Зареєстрований (пайовий/статутний) капітал/ Registered (share / authorized) capital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5911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5 911</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Довгострокові зобов'язання і забезпечення/ Long-term liabilities and collateral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75048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114 612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Поточні зобов'язання і забезпечення/ Current liabilities and collateral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430990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304 616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Чистий фінансовий результат: прибуток (збиток)/ Net financial result: profit (loss)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(47 192)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(62 958)</w:t>
            </w:r>
          </w:p>
        </w:tc>
      </w:tr>
    </w:tb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0988.0" w:type="dxa"/>
        <w:jc w:val="left"/>
        <w:tblInd w:w="-108.0" w:type="dxa"/>
        <w:tblLayout w:type="fixed"/>
        <w:tblLook w:val="0000"/>
      </w:tblPr>
      <w:tblGrid>
        <w:gridCol w:w="5494"/>
        <w:gridCol w:w="5494"/>
        <w:tblGridChange w:id="0">
          <w:tblGrid>
            <w:gridCol w:w="5494"/>
            <w:gridCol w:w="5494"/>
          </w:tblGrid>
        </w:tblGridChange>
      </w:tblGrid>
      <w:tr>
        <w:trPr>
          <w:cantSplit w:val="0"/>
          <w:tblHeader w:val="0"/>
        </w:trPr>
        <w:tc>
          <w:tcPr>
            <w:gridSpan w:val="2"/>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87"/>
              <w:gridCol w:w="1296"/>
              <w:gridCol w:w="1437"/>
              <w:tblGridChange w:id="0">
                <w:tblGrid>
                  <w:gridCol w:w="6987"/>
                  <w:gridCol w:w="1296"/>
                  <w:gridCol w:w="14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Середньорічна кількість акцій (шт.)/ Average annual number of shares (units)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23642143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23 642 143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Чистий прибуток (збиток) на одну просту акцію (грн)/ Net profit (loss) per ordinary share (UAH)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1,99611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2,66296</w:t>
                  </w:r>
                </w:p>
              </w:tc>
            </w:tr>
          </w:tb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Підтверджую достовірність інформації, що міститься у повідомленні.</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Голова Правління ПрАТ «ВКВ»                                                                        Літвін Д.В.</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568" w:top="426"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5535"/>
      <w:numFmt w:val="bullet"/>
      <w:lvlText w:val="-"/>
      <w:lvlJc w:val="left"/>
      <w:pPr>
        <w:ind w:left="1080" w:hanging="36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w:cs="Noto Sans" w:eastAsia="Noto Sans" w:hAnsi="Noto Sans"/>
        <w:vertAlign w:val="baseline"/>
      </w:rPr>
    </w:lvl>
    <w:lvl w:ilvl="3">
      <w:start w:val="1"/>
      <w:numFmt w:val="bullet"/>
      <w:lvlText w:val="●"/>
      <w:lvlJc w:val="left"/>
      <w:pPr>
        <w:ind w:left="3240" w:hanging="360"/>
      </w:pPr>
      <w:rPr>
        <w:rFonts w:ascii="Noto Sans" w:cs="Noto Sans" w:eastAsia="Noto Sans" w:hAnsi="Noto San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w:cs="Noto Sans" w:eastAsia="Noto Sans" w:hAnsi="Noto Sans"/>
        <w:vertAlign w:val="baseline"/>
      </w:rPr>
    </w:lvl>
    <w:lvl w:ilvl="6">
      <w:start w:val="1"/>
      <w:numFmt w:val="bullet"/>
      <w:lvlText w:val="●"/>
      <w:lvlJc w:val="left"/>
      <w:pPr>
        <w:ind w:left="5400" w:hanging="360"/>
      </w:pPr>
      <w:rPr>
        <w:rFonts w:ascii="Noto Sans" w:cs="Noto Sans" w:eastAsia="Noto Sans" w:hAnsi="Noto San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w:cs="Noto Sans" w:eastAsia="Noto Sans" w:hAnsi="Noto San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ffice@vkv.com.ua" TargetMode="External"/><Relationship Id="rId10" Type="http://schemas.openxmlformats.org/officeDocument/2006/relationships/hyperlink" Target="mailto:office@vkv.com.ua" TargetMode="External"/><Relationship Id="rId9" Type="http://schemas.openxmlformats.org/officeDocument/2006/relationships/hyperlink" Target="http://vkv.emitents.net.ua/ua/mess" TargetMode="External"/><Relationship Id="rId5" Type="http://schemas.openxmlformats.org/officeDocument/2006/relationships/styles" Target="styles.xml"/><Relationship Id="rId6" Type="http://schemas.openxmlformats.org/officeDocument/2006/relationships/hyperlink" Target="http://vkv.emitents.net.ua" TargetMode="External"/><Relationship Id="rId7" Type="http://schemas.openxmlformats.org/officeDocument/2006/relationships/hyperlink" Target="http://vkv.emitents.net.ua/ua/mess" TargetMode="External"/><Relationship Id="rId8" Type="http://schemas.openxmlformats.org/officeDocument/2006/relationships/hyperlink" Target="http://vkv.emitents.net.ua/ua/m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